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1ECFA"/>
  <w:body>
    <w:p w14:paraId="100DEE2D" w14:textId="77777777" w:rsidR="000B610B" w:rsidRPr="009758DE" w:rsidRDefault="009758DE">
      <w:pPr>
        <w:pStyle w:val="Heading1"/>
        <w:rPr>
          <w:rFonts w:ascii="Arial" w:hAnsi="Arial" w:cs="Arial"/>
          <w:color w:val="244061" w:themeColor="accent1" w:themeShade="80"/>
          <w:lang w:val="en-GB"/>
        </w:rPr>
      </w:pPr>
      <w:r w:rsidRPr="009758DE">
        <w:rPr>
          <w:rFonts w:ascii="Arial" w:hAnsi="Arial" w:cs="Arial"/>
          <w:color w:val="244061" w:themeColor="accent1" w:themeShade="80"/>
          <w:lang w:val="en-GB"/>
        </w:rPr>
        <w:t>Empowering Diversity: EDI Grant Report Summary</w:t>
      </w:r>
    </w:p>
    <w:p w14:paraId="0176F803" w14:textId="5000CDE9" w:rsidR="000B610B" w:rsidRPr="009758DE" w:rsidRDefault="009758DE">
      <w:pPr>
        <w:rPr>
          <w:rFonts w:ascii="Arial" w:hAnsi="Arial" w:cs="Arial"/>
          <w:sz w:val="24"/>
          <w:szCs w:val="24"/>
          <w:lang w:val="en-GB"/>
        </w:rPr>
      </w:pPr>
      <w:r w:rsidRPr="009758DE">
        <w:rPr>
          <w:rFonts w:ascii="Arial" w:hAnsi="Arial" w:cs="Arial"/>
          <w:sz w:val="24"/>
          <w:szCs w:val="24"/>
          <w:lang w:val="en-GB"/>
        </w:rPr>
        <w:t xml:space="preserve">This report summarises the progress, outcomes, and recommendations from the project ‘Empowering Diversity: An Anti-Prejudice Education Website to Inspire Under-Represented Groups in Space Science and STEM’. The project aimed to promote inclusivity, break down barriers to participation, and enhance representation across </w:t>
      </w:r>
      <w:r w:rsidR="00C269E3" w:rsidRPr="009758DE">
        <w:rPr>
          <w:rFonts w:ascii="Arial" w:hAnsi="Arial" w:cs="Arial"/>
          <w:sz w:val="24"/>
          <w:szCs w:val="24"/>
          <w:lang w:val="en-GB"/>
        </w:rPr>
        <w:t>T</w:t>
      </w:r>
      <w:r w:rsidRPr="009758DE">
        <w:rPr>
          <w:rFonts w:ascii="Arial" w:hAnsi="Arial" w:cs="Arial"/>
          <w:sz w:val="24"/>
          <w:szCs w:val="24"/>
          <w:lang w:val="en-GB"/>
        </w:rPr>
        <w:t>he Schools’ Observatory website and related outreach activities.</w:t>
      </w:r>
    </w:p>
    <w:p w14:paraId="4C153F64" w14:textId="77777777" w:rsidR="000B610B" w:rsidRPr="009758DE" w:rsidRDefault="009758DE">
      <w:pPr>
        <w:pStyle w:val="Heading2"/>
        <w:rPr>
          <w:rFonts w:ascii="Arial" w:hAnsi="Arial" w:cs="Arial"/>
          <w:color w:val="244061" w:themeColor="accent1" w:themeShade="80"/>
          <w:lang w:val="en-GB"/>
        </w:rPr>
      </w:pPr>
      <w:r w:rsidRPr="009758DE">
        <w:rPr>
          <w:rFonts w:ascii="Arial" w:hAnsi="Arial" w:cs="Arial"/>
          <w:color w:val="244061" w:themeColor="accent1" w:themeShade="80"/>
          <w:lang w:val="en-GB"/>
        </w:rPr>
        <w:t>1. Project Overview</w:t>
      </w:r>
    </w:p>
    <w:p w14:paraId="662DB0ED" w14:textId="77777777" w:rsidR="000B610B" w:rsidRPr="009758DE" w:rsidRDefault="009758DE">
      <w:pPr>
        <w:rPr>
          <w:rFonts w:ascii="Arial" w:hAnsi="Arial" w:cs="Arial"/>
          <w:sz w:val="24"/>
          <w:szCs w:val="24"/>
          <w:lang w:val="en-GB"/>
        </w:rPr>
      </w:pPr>
      <w:r w:rsidRPr="009758DE">
        <w:rPr>
          <w:rFonts w:ascii="Arial" w:hAnsi="Arial" w:cs="Arial"/>
          <w:sz w:val="24"/>
          <w:szCs w:val="24"/>
          <w:lang w:val="en-GB"/>
        </w:rPr>
        <w:t>The project sought to create a more inclusive and representative environment for students and educators engaging with STEM and astronomy. Key aims included fostering confidence among underrepresented groups, improving accessibility, and embedding cultural astronomy to reflect global perspectives in science.</w:t>
      </w:r>
    </w:p>
    <w:p w14:paraId="01E951FD" w14:textId="77777777" w:rsidR="000B610B" w:rsidRPr="009758DE" w:rsidRDefault="009758DE">
      <w:pPr>
        <w:pStyle w:val="Heading2"/>
        <w:rPr>
          <w:rFonts w:ascii="Arial" w:hAnsi="Arial" w:cs="Arial"/>
          <w:color w:val="244061" w:themeColor="accent1" w:themeShade="80"/>
          <w:lang w:val="en-GB"/>
        </w:rPr>
      </w:pPr>
      <w:r w:rsidRPr="009758DE">
        <w:rPr>
          <w:rFonts w:ascii="Arial" w:hAnsi="Arial" w:cs="Arial"/>
          <w:color w:val="244061" w:themeColor="accent1" w:themeShade="80"/>
          <w:lang w:val="en-GB"/>
        </w:rPr>
        <w:t>2. Key Activities and Methodology</w:t>
      </w:r>
    </w:p>
    <w:p w14:paraId="6EFAFAE0" w14:textId="77777777" w:rsidR="000B610B" w:rsidRPr="009758DE" w:rsidRDefault="009758DE">
      <w:pPr>
        <w:rPr>
          <w:rFonts w:ascii="Arial" w:hAnsi="Arial" w:cs="Arial"/>
          <w:sz w:val="24"/>
          <w:szCs w:val="24"/>
          <w:lang w:val="en-GB"/>
        </w:rPr>
      </w:pPr>
      <w:r w:rsidRPr="009758DE">
        <w:rPr>
          <w:rFonts w:ascii="Arial" w:hAnsi="Arial" w:cs="Arial"/>
          <w:sz w:val="24"/>
          <w:szCs w:val="24"/>
          <w:lang w:val="en-GB"/>
        </w:rPr>
        <w:t>The project combined language decolonisation, accessibility audits, external EDI reviews, and participatory research with stakeholders and youth groups. Activities included website content reviews, an action learning set focused on anti-prejudice practice, and the creation of new website content highlighting diverse scientists and cultural astronomy.</w:t>
      </w:r>
    </w:p>
    <w:p w14:paraId="2D774469" w14:textId="77777777" w:rsidR="000B610B" w:rsidRPr="009758DE" w:rsidRDefault="009758DE">
      <w:pPr>
        <w:pStyle w:val="Heading2"/>
        <w:rPr>
          <w:rFonts w:ascii="Arial" w:hAnsi="Arial" w:cs="Arial"/>
          <w:color w:val="244061" w:themeColor="accent1" w:themeShade="80"/>
          <w:sz w:val="28"/>
          <w:szCs w:val="28"/>
          <w:lang w:val="en-GB"/>
        </w:rPr>
      </w:pPr>
      <w:r w:rsidRPr="009758DE">
        <w:rPr>
          <w:rFonts w:ascii="Arial" w:hAnsi="Arial" w:cs="Arial"/>
          <w:color w:val="244061" w:themeColor="accent1" w:themeShade="80"/>
          <w:sz w:val="28"/>
          <w:szCs w:val="28"/>
          <w:lang w:val="en-GB"/>
        </w:rPr>
        <w:t>3. Major Outcomes</w:t>
      </w:r>
    </w:p>
    <w:p w14:paraId="2F92D379" w14:textId="77777777" w:rsidR="004F6ADD" w:rsidRPr="009758DE" w:rsidRDefault="009758DE" w:rsidP="004F6ADD">
      <w:pPr>
        <w:pStyle w:val="ListParagraph"/>
        <w:numPr>
          <w:ilvl w:val="0"/>
          <w:numId w:val="11"/>
        </w:numPr>
        <w:rPr>
          <w:rFonts w:ascii="Arial" w:hAnsi="Arial" w:cs="Arial"/>
          <w:sz w:val="24"/>
          <w:szCs w:val="24"/>
          <w:lang w:val="en-GB"/>
        </w:rPr>
      </w:pPr>
      <w:r w:rsidRPr="009758DE">
        <w:rPr>
          <w:rFonts w:ascii="Arial" w:hAnsi="Arial" w:cs="Arial"/>
          <w:sz w:val="24"/>
          <w:szCs w:val="24"/>
          <w:lang w:val="en-GB"/>
        </w:rPr>
        <w:t>Updated website incorporating cultural astronomy and diverse biographies</w:t>
      </w:r>
    </w:p>
    <w:p w14:paraId="710CFDB9" w14:textId="77777777" w:rsidR="004F6ADD" w:rsidRPr="009758DE" w:rsidRDefault="009758DE" w:rsidP="004F6ADD">
      <w:pPr>
        <w:pStyle w:val="ListParagraph"/>
        <w:numPr>
          <w:ilvl w:val="0"/>
          <w:numId w:val="11"/>
        </w:numPr>
        <w:rPr>
          <w:rFonts w:ascii="Arial" w:hAnsi="Arial" w:cs="Arial"/>
          <w:sz w:val="24"/>
          <w:szCs w:val="24"/>
          <w:lang w:val="en-GB"/>
        </w:rPr>
      </w:pPr>
      <w:r w:rsidRPr="009758DE">
        <w:rPr>
          <w:rFonts w:ascii="Arial" w:hAnsi="Arial" w:cs="Arial"/>
          <w:sz w:val="24"/>
          <w:szCs w:val="24"/>
          <w:lang w:val="en-GB"/>
        </w:rPr>
        <w:t>External EDI and accessibility reviews completed with actionable recommendations</w:t>
      </w:r>
    </w:p>
    <w:p w14:paraId="674333D2" w14:textId="77777777" w:rsidR="004F6ADD" w:rsidRPr="009758DE" w:rsidRDefault="009758DE" w:rsidP="004F6ADD">
      <w:pPr>
        <w:pStyle w:val="ListParagraph"/>
        <w:numPr>
          <w:ilvl w:val="0"/>
          <w:numId w:val="11"/>
        </w:numPr>
        <w:rPr>
          <w:rFonts w:ascii="Arial" w:hAnsi="Arial" w:cs="Arial"/>
          <w:sz w:val="24"/>
          <w:szCs w:val="24"/>
          <w:lang w:val="en-GB"/>
        </w:rPr>
      </w:pPr>
      <w:r w:rsidRPr="009758DE">
        <w:rPr>
          <w:rFonts w:ascii="Arial" w:hAnsi="Arial" w:cs="Arial"/>
          <w:sz w:val="24"/>
          <w:szCs w:val="24"/>
          <w:lang w:val="en-GB"/>
        </w:rPr>
        <w:t>Action Learning Set of six sessions delivered on anti-prejudice practice</w:t>
      </w:r>
    </w:p>
    <w:p w14:paraId="057A20AA" w14:textId="77777777" w:rsidR="004F6ADD" w:rsidRPr="009758DE" w:rsidRDefault="009758DE" w:rsidP="004F6ADD">
      <w:pPr>
        <w:pStyle w:val="ListParagraph"/>
        <w:numPr>
          <w:ilvl w:val="0"/>
          <w:numId w:val="11"/>
        </w:numPr>
        <w:rPr>
          <w:rFonts w:ascii="Arial" w:hAnsi="Arial" w:cs="Arial"/>
          <w:sz w:val="24"/>
          <w:szCs w:val="24"/>
          <w:lang w:val="en-GB"/>
        </w:rPr>
      </w:pPr>
      <w:r w:rsidRPr="009758DE">
        <w:rPr>
          <w:rFonts w:ascii="Arial" w:hAnsi="Arial" w:cs="Arial"/>
          <w:sz w:val="24"/>
          <w:szCs w:val="24"/>
          <w:lang w:val="en-GB"/>
        </w:rPr>
        <w:t>CDPIR analysis conducted on 450+ web pages to assess language accessibility</w:t>
      </w:r>
    </w:p>
    <w:p w14:paraId="22861D98" w14:textId="77777777" w:rsidR="004F6ADD" w:rsidRPr="009758DE" w:rsidRDefault="009758DE" w:rsidP="004F6ADD">
      <w:pPr>
        <w:pStyle w:val="ListParagraph"/>
        <w:numPr>
          <w:ilvl w:val="0"/>
          <w:numId w:val="11"/>
        </w:numPr>
        <w:rPr>
          <w:rFonts w:ascii="Arial" w:hAnsi="Arial" w:cs="Arial"/>
          <w:sz w:val="24"/>
          <w:szCs w:val="24"/>
          <w:lang w:val="en-GB"/>
        </w:rPr>
      </w:pPr>
      <w:r w:rsidRPr="009758DE">
        <w:rPr>
          <w:rFonts w:ascii="Arial" w:hAnsi="Arial" w:cs="Arial"/>
          <w:sz w:val="24"/>
          <w:szCs w:val="24"/>
          <w:lang w:val="en-GB"/>
        </w:rPr>
        <w:t>26 new Global South career heroes and 15 new non-European historical biographies published</w:t>
      </w:r>
    </w:p>
    <w:p w14:paraId="5388433D" w14:textId="6DC465E6" w:rsidR="000B610B" w:rsidRPr="009758DE" w:rsidRDefault="009758DE" w:rsidP="004F6ADD">
      <w:pPr>
        <w:pStyle w:val="ListParagraph"/>
        <w:numPr>
          <w:ilvl w:val="0"/>
          <w:numId w:val="11"/>
        </w:numPr>
        <w:rPr>
          <w:rFonts w:ascii="Arial" w:hAnsi="Arial" w:cs="Arial"/>
          <w:sz w:val="24"/>
          <w:szCs w:val="24"/>
          <w:lang w:val="en-GB"/>
        </w:rPr>
      </w:pPr>
      <w:r w:rsidRPr="009758DE">
        <w:rPr>
          <w:rFonts w:ascii="Arial" w:hAnsi="Arial" w:cs="Arial"/>
          <w:sz w:val="24"/>
          <w:szCs w:val="24"/>
          <w:lang w:val="en-GB"/>
        </w:rPr>
        <w:t>Ethics approval obtained and youth group partnerships established for focus groups in 2025/26</w:t>
      </w:r>
    </w:p>
    <w:p w14:paraId="2D8865DC" w14:textId="77777777" w:rsidR="000B610B" w:rsidRPr="009758DE" w:rsidRDefault="009758DE">
      <w:pPr>
        <w:pStyle w:val="Heading2"/>
        <w:rPr>
          <w:rFonts w:ascii="Arial" w:hAnsi="Arial" w:cs="Arial"/>
          <w:color w:val="244061" w:themeColor="accent1" w:themeShade="80"/>
          <w:lang w:val="en-GB"/>
        </w:rPr>
      </w:pPr>
      <w:r w:rsidRPr="009758DE">
        <w:rPr>
          <w:rFonts w:ascii="Arial" w:hAnsi="Arial" w:cs="Arial"/>
          <w:color w:val="244061" w:themeColor="accent1" w:themeShade="80"/>
          <w:lang w:val="en-GB"/>
        </w:rPr>
        <w:t>4. Key Findings</w:t>
      </w:r>
    </w:p>
    <w:p w14:paraId="64B87592" w14:textId="6E324837" w:rsidR="000B610B" w:rsidRPr="009758DE" w:rsidRDefault="009758DE">
      <w:pPr>
        <w:rPr>
          <w:rFonts w:ascii="Arial" w:hAnsi="Arial" w:cs="Arial"/>
          <w:sz w:val="24"/>
          <w:szCs w:val="24"/>
          <w:lang w:val="en-GB"/>
        </w:rPr>
      </w:pPr>
      <w:r w:rsidRPr="009758DE">
        <w:rPr>
          <w:rFonts w:ascii="Arial" w:hAnsi="Arial" w:cs="Arial"/>
          <w:sz w:val="24"/>
          <w:szCs w:val="24"/>
          <w:lang w:val="en-GB"/>
        </w:rPr>
        <w:t xml:space="preserve">Reviews identified </w:t>
      </w:r>
      <w:r w:rsidR="00C269E3" w:rsidRPr="009758DE">
        <w:rPr>
          <w:rFonts w:ascii="Arial" w:hAnsi="Arial" w:cs="Arial"/>
          <w:sz w:val="24"/>
          <w:szCs w:val="24"/>
          <w:lang w:val="en-GB"/>
        </w:rPr>
        <w:t>T</w:t>
      </w:r>
      <w:r w:rsidRPr="009758DE">
        <w:rPr>
          <w:rFonts w:ascii="Arial" w:hAnsi="Arial" w:cs="Arial"/>
          <w:sz w:val="24"/>
          <w:szCs w:val="24"/>
          <w:lang w:val="en-GB"/>
        </w:rPr>
        <w:t>he Schools’ Observatory website as a strong educational resource demonstrating good practice in accessibility and inclusive presentation. However, recommendations emphasised improving representation in imagery, diversifying content across history and culture, and enhancing navigation and readability. The Action Learning Set revealed the value of peer-led reflection and professional vulnerability in developing inclusive practices.</w:t>
      </w:r>
    </w:p>
    <w:p w14:paraId="13835B47" w14:textId="77777777" w:rsidR="000B610B" w:rsidRPr="009758DE" w:rsidRDefault="009758DE">
      <w:pPr>
        <w:pStyle w:val="Heading2"/>
        <w:rPr>
          <w:rFonts w:ascii="Arial" w:hAnsi="Arial" w:cs="Arial"/>
          <w:color w:val="244061" w:themeColor="accent1" w:themeShade="80"/>
          <w:lang w:val="en-GB"/>
        </w:rPr>
      </w:pPr>
      <w:r w:rsidRPr="009758DE">
        <w:rPr>
          <w:rFonts w:ascii="Arial" w:hAnsi="Arial" w:cs="Arial"/>
          <w:color w:val="244061" w:themeColor="accent1" w:themeShade="80"/>
          <w:lang w:val="en-GB"/>
        </w:rPr>
        <w:t>5. Budget Summary</w:t>
      </w:r>
    </w:p>
    <w:p w14:paraId="31516239" w14:textId="77777777" w:rsidR="000B610B" w:rsidRPr="009758DE" w:rsidRDefault="009758DE">
      <w:pPr>
        <w:rPr>
          <w:rFonts w:ascii="Arial" w:hAnsi="Arial" w:cs="Arial"/>
          <w:sz w:val="24"/>
          <w:szCs w:val="24"/>
          <w:lang w:val="en-GB"/>
        </w:rPr>
      </w:pPr>
      <w:r w:rsidRPr="009758DE">
        <w:rPr>
          <w:rFonts w:ascii="Arial" w:hAnsi="Arial" w:cs="Arial"/>
          <w:sz w:val="24"/>
          <w:szCs w:val="24"/>
          <w:lang w:val="en-GB"/>
        </w:rPr>
        <w:t>The project maintained strong financial management. Actual spending (£8,343) remained within the expected range. Savings were made in travel and catering, while accessibility and facilitation costs were slightly higher than forecast. Unspent funds from the youth focus groups will be carried forward to the next phase.</w:t>
      </w:r>
    </w:p>
    <w:p w14:paraId="1A31FDB9" w14:textId="1E31F53A" w:rsidR="000B610B" w:rsidRPr="009758DE" w:rsidRDefault="009758DE">
      <w:pPr>
        <w:pStyle w:val="Heading2"/>
        <w:rPr>
          <w:rFonts w:ascii="Arial" w:hAnsi="Arial" w:cs="Arial"/>
          <w:color w:val="244061" w:themeColor="accent1" w:themeShade="80"/>
          <w:lang w:val="en-GB"/>
        </w:rPr>
      </w:pPr>
      <w:r w:rsidRPr="009758DE">
        <w:rPr>
          <w:rFonts w:ascii="Arial" w:hAnsi="Arial" w:cs="Arial"/>
          <w:color w:val="244061" w:themeColor="accent1" w:themeShade="80"/>
          <w:lang w:val="en-GB"/>
        </w:rPr>
        <w:lastRenderedPageBreak/>
        <w:t>6. Recommendations</w:t>
      </w:r>
      <w:r w:rsidR="004F6ADD" w:rsidRPr="009758DE">
        <w:rPr>
          <w:rFonts w:ascii="Arial" w:hAnsi="Arial" w:cs="Arial"/>
          <w:color w:val="244061" w:themeColor="accent1" w:themeShade="80"/>
          <w:lang w:val="en-GB"/>
        </w:rPr>
        <w:t xml:space="preserve"> Summary</w:t>
      </w:r>
    </w:p>
    <w:p w14:paraId="28261A2D" w14:textId="77777777" w:rsidR="004F6ADD" w:rsidRPr="009758DE" w:rsidRDefault="009758DE" w:rsidP="004F6ADD">
      <w:pPr>
        <w:pStyle w:val="ListParagraph"/>
        <w:numPr>
          <w:ilvl w:val="0"/>
          <w:numId w:val="13"/>
        </w:numPr>
        <w:rPr>
          <w:rFonts w:ascii="Arial" w:hAnsi="Arial" w:cs="Arial"/>
          <w:sz w:val="24"/>
          <w:szCs w:val="24"/>
          <w:lang w:val="en-GB"/>
        </w:rPr>
      </w:pPr>
      <w:r w:rsidRPr="009758DE">
        <w:rPr>
          <w:rFonts w:ascii="Arial" w:hAnsi="Arial" w:cs="Arial"/>
          <w:sz w:val="24"/>
          <w:szCs w:val="24"/>
          <w:lang w:val="en-GB"/>
        </w:rPr>
        <w:t>Continue to embed EDI principles through website imagery, multilingual content, and cultural astronomy resources.</w:t>
      </w:r>
    </w:p>
    <w:p w14:paraId="04B278F4" w14:textId="77777777" w:rsidR="004F6ADD" w:rsidRPr="009758DE" w:rsidRDefault="009758DE" w:rsidP="004F6ADD">
      <w:pPr>
        <w:pStyle w:val="ListParagraph"/>
        <w:numPr>
          <w:ilvl w:val="0"/>
          <w:numId w:val="13"/>
        </w:numPr>
        <w:rPr>
          <w:rFonts w:ascii="Arial" w:hAnsi="Arial" w:cs="Arial"/>
          <w:sz w:val="24"/>
          <w:szCs w:val="24"/>
          <w:lang w:val="en-GB"/>
        </w:rPr>
      </w:pPr>
      <w:r w:rsidRPr="009758DE">
        <w:rPr>
          <w:rFonts w:ascii="Arial" w:hAnsi="Arial" w:cs="Arial"/>
          <w:sz w:val="24"/>
          <w:szCs w:val="24"/>
          <w:lang w:val="en-GB"/>
        </w:rPr>
        <w:t xml:space="preserve">Expand community partnerships and </w:t>
      </w:r>
      <w:r w:rsidRPr="009758DE">
        <w:rPr>
          <w:rFonts w:ascii="Arial" w:hAnsi="Arial" w:cs="Arial"/>
          <w:sz w:val="24"/>
          <w:szCs w:val="24"/>
          <w:lang w:val="en-GB"/>
        </w:rPr>
        <w:t>opportunities for underrepresented youth.</w:t>
      </w:r>
    </w:p>
    <w:p w14:paraId="0E5B68C2" w14:textId="4BC469C3" w:rsidR="004F6ADD" w:rsidRPr="009758DE" w:rsidRDefault="009758DE" w:rsidP="004F6ADD">
      <w:pPr>
        <w:pStyle w:val="ListParagraph"/>
        <w:numPr>
          <w:ilvl w:val="0"/>
          <w:numId w:val="13"/>
        </w:numPr>
        <w:rPr>
          <w:rFonts w:ascii="Arial" w:hAnsi="Arial" w:cs="Arial"/>
          <w:sz w:val="24"/>
          <w:szCs w:val="24"/>
          <w:lang w:val="en-GB"/>
        </w:rPr>
      </w:pPr>
      <w:r w:rsidRPr="009758DE">
        <w:rPr>
          <w:rFonts w:ascii="Arial" w:hAnsi="Arial" w:cs="Arial"/>
          <w:sz w:val="24"/>
          <w:szCs w:val="24"/>
          <w:lang w:val="en-GB"/>
        </w:rPr>
        <w:t xml:space="preserve">Implement </w:t>
      </w:r>
      <w:r w:rsidR="00C269E3" w:rsidRPr="009758DE">
        <w:rPr>
          <w:rFonts w:ascii="Arial" w:hAnsi="Arial" w:cs="Arial"/>
          <w:sz w:val="24"/>
          <w:szCs w:val="24"/>
          <w:lang w:val="en-GB"/>
        </w:rPr>
        <w:t xml:space="preserve">website </w:t>
      </w:r>
      <w:r w:rsidRPr="009758DE">
        <w:rPr>
          <w:rFonts w:ascii="Arial" w:hAnsi="Arial" w:cs="Arial"/>
          <w:sz w:val="24"/>
          <w:szCs w:val="24"/>
          <w:lang w:val="en-GB"/>
        </w:rPr>
        <w:t>accessibility recommendations aligned with WCAG 2.2</w:t>
      </w:r>
      <w:r w:rsidR="004F6ADD" w:rsidRPr="009758DE">
        <w:rPr>
          <w:rFonts w:ascii="Arial" w:hAnsi="Arial" w:cs="Arial"/>
          <w:sz w:val="24"/>
          <w:szCs w:val="24"/>
          <w:lang w:val="en-GB"/>
        </w:rPr>
        <w:t xml:space="preserve"> standards.</w:t>
      </w:r>
    </w:p>
    <w:p w14:paraId="373CCAAA" w14:textId="77777777" w:rsidR="004F6ADD" w:rsidRPr="009758DE" w:rsidRDefault="009758DE" w:rsidP="004F6ADD">
      <w:pPr>
        <w:pStyle w:val="ListParagraph"/>
        <w:numPr>
          <w:ilvl w:val="0"/>
          <w:numId w:val="13"/>
        </w:numPr>
        <w:rPr>
          <w:rFonts w:ascii="Arial" w:hAnsi="Arial" w:cs="Arial"/>
          <w:sz w:val="24"/>
          <w:szCs w:val="24"/>
          <w:lang w:val="en-GB"/>
        </w:rPr>
      </w:pPr>
      <w:r w:rsidRPr="009758DE">
        <w:rPr>
          <w:rFonts w:ascii="Arial" w:hAnsi="Arial" w:cs="Arial"/>
          <w:sz w:val="24"/>
          <w:szCs w:val="24"/>
          <w:lang w:val="en-GB"/>
        </w:rPr>
        <w:t>Develop global astronomy resources highlighting Indigenous and non-Western perspectives.</w:t>
      </w:r>
    </w:p>
    <w:p w14:paraId="0ADF73F5" w14:textId="32379C92" w:rsidR="000B610B" w:rsidRPr="009758DE" w:rsidRDefault="009758DE" w:rsidP="004F6ADD">
      <w:pPr>
        <w:pStyle w:val="ListParagraph"/>
        <w:numPr>
          <w:ilvl w:val="0"/>
          <w:numId w:val="13"/>
        </w:numPr>
        <w:rPr>
          <w:rFonts w:ascii="Arial" w:hAnsi="Arial" w:cs="Arial"/>
          <w:sz w:val="24"/>
          <w:szCs w:val="24"/>
          <w:lang w:val="en-GB"/>
        </w:rPr>
      </w:pPr>
      <w:r w:rsidRPr="009758DE">
        <w:rPr>
          <w:rFonts w:ascii="Arial" w:hAnsi="Arial" w:cs="Arial"/>
          <w:sz w:val="24"/>
          <w:szCs w:val="24"/>
          <w:lang w:val="en-GB"/>
        </w:rPr>
        <w:t>Maintain regular EDI audits and user feedback mechanisms.</w:t>
      </w:r>
    </w:p>
    <w:p w14:paraId="39703800" w14:textId="77777777" w:rsidR="000B610B" w:rsidRPr="009758DE" w:rsidRDefault="009758DE">
      <w:pPr>
        <w:pStyle w:val="Heading2"/>
        <w:rPr>
          <w:rFonts w:ascii="Arial" w:hAnsi="Arial" w:cs="Arial"/>
          <w:color w:val="244061" w:themeColor="accent1" w:themeShade="80"/>
          <w:lang w:val="en-GB"/>
        </w:rPr>
      </w:pPr>
      <w:r w:rsidRPr="009758DE">
        <w:rPr>
          <w:rFonts w:ascii="Arial" w:hAnsi="Arial" w:cs="Arial"/>
          <w:color w:val="244061" w:themeColor="accent1" w:themeShade="80"/>
          <w:lang w:val="en-GB"/>
        </w:rPr>
        <w:t>7. Next Steps</w:t>
      </w:r>
    </w:p>
    <w:p w14:paraId="2121221B" w14:textId="6048227F" w:rsidR="000B610B" w:rsidRPr="009758DE" w:rsidRDefault="009758DE">
      <w:pPr>
        <w:rPr>
          <w:rFonts w:ascii="Arial" w:hAnsi="Arial" w:cs="Arial"/>
          <w:sz w:val="24"/>
          <w:szCs w:val="24"/>
          <w:lang w:val="en-GB"/>
        </w:rPr>
      </w:pPr>
      <w:r w:rsidRPr="009758DE">
        <w:rPr>
          <w:rFonts w:ascii="Arial" w:hAnsi="Arial" w:cs="Arial"/>
          <w:sz w:val="24"/>
          <w:szCs w:val="24"/>
          <w:lang w:val="en-GB"/>
        </w:rPr>
        <w:t xml:space="preserve">Planned activities include </w:t>
      </w:r>
      <w:r w:rsidR="004F6ADD" w:rsidRPr="009758DE">
        <w:rPr>
          <w:rFonts w:ascii="Arial" w:hAnsi="Arial" w:cs="Arial"/>
          <w:sz w:val="24"/>
          <w:szCs w:val="24"/>
          <w:lang w:val="en-GB"/>
        </w:rPr>
        <w:t>conducting</w:t>
      </w:r>
      <w:r w:rsidRPr="009758DE">
        <w:rPr>
          <w:rFonts w:ascii="Arial" w:hAnsi="Arial" w:cs="Arial"/>
          <w:sz w:val="24"/>
          <w:szCs w:val="24"/>
          <w:lang w:val="en-GB"/>
        </w:rPr>
        <w:t xml:space="preserve"> youth focus groups, expan</w:t>
      </w:r>
      <w:r w:rsidR="004F6ADD" w:rsidRPr="009758DE">
        <w:rPr>
          <w:rFonts w:ascii="Arial" w:hAnsi="Arial" w:cs="Arial"/>
          <w:sz w:val="24"/>
          <w:szCs w:val="24"/>
          <w:lang w:val="en-GB"/>
        </w:rPr>
        <w:t>ding</w:t>
      </w:r>
      <w:r w:rsidRPr="009758DE">
        <w:rPr>
          <w:rFonts w:ascii="Arial" w:hAnsi="Arial" w:cs="Arial"/>
          <w:sz w:val="24"/>
          <w:szCs w:val="24"/>
          <w:lang w:val="en-GB"/>
        </w:rPr>
        <w:t xml:space="preserve"> the cultural astronomy section, and continu</w:t>
      </w:r>
      <w:r w:rsidR="004F6ADD" w:rsidRPr="009758DE">
        <w:rPr>
          <w:rFonts w:ascii="Arial" w:hAnsi="Arial" w:cs="Arial"/>
          <w:sz w:val="24"/>
          <w:szCs w:val="24"/>
          <w:lang w:val="en-GB"/>
        </w:rPr>
        <w:t>ing</w:t>
      </w:r>
      <w:r w:rsidRPr="009758DE">
        <w:rPr>
          <w:rFonts w:ascii="Arial" w:hAnsi="Arial" w:cs="Arial"/>
          <w:sz w:val="24"/>
          <w:szCs w:val="24"/>
          <w:lang w:val="en-GB"/>
        </w:rPr>
        <w:t xml:space="preserve"> updates to improve accessibility. A comprehensive case study and final implementation review will be published</w:t>
      </w:r>
      <w:r w:rsidRPr="009758DE">
        <w:rPr>
          <w:rFonts w:ascii="Arial" w:hAnsi="Arial" w:cs="Arial"/>
          <w:sz w:val="24"/>
          <w:szCs w:val="24"/>
          <w:lang w:val="en-GB"/>
        </w:rPr>
        <w:t>.</w:t>
      </w:r>
    </w:p>
    <w:p w14:paraId="0F2631F0" w14:textId="77777777" w:rsidR="000B610B" w:rsidRPr="009758DE" w:rsidRDefault="009758DE">
      <w:pPr>
        <w:rPr>
          <w:rFonts w:ascii="Arial" w:hAnsi="Arial" w:cs="Arial"/>
          <w:sz w:val="24"/>
          <w:szCs w:val="24"/>
          <w:lang w:val="en-GB"/>
        </w:rPr>
      </w:pPr>
      <w:r w:rsidRPr="009758DE">
        <w:rPr>
          <w:rFonts w:ascii="Arial" w:hAnsi="Arial" w:cs="Arial"/>
          <w:sz w:val="24"/>
          <w:szCs w:val="24"/>
          <w:lang w:val="en-GB"/>
        </w:rPr>
        <w:br/>
        <w:t>Prepared by: Dr Stacey Habergham-Mawson</w:t>
      </w:r>
      <w:r w:rsidRPr="009758DE">
        <w:rPr>
          <w:rFonts w:ascii="Arial" w:hAnsi="Arial" w:cs="Arial"/>
          <w:sz w:val="24"/>
          <w:szCs w:val="24"/>
          <w:lang w:val="en-GB"/>
        </w:rPr>
        <w:br/>
        <w:t>Project Lead, The Schools’ Observatory</w:t>
      </w:r>
      <w:r w:rsidRPr="009758DE">
        <w:rPr>
          <w:rFonts w:ascii="Arial" w:hAnsi="Arial" w:cs="Arial"/>
          <w:sz w:val="24"/>
          <w:szCs w:val="24"/>
          <w:lang w:val="en-GB"/>
        </w:rPr>
        <w:br/>
        <w:t>Liverpool John Moores University</w:t>
      </w:r>
    </w:p>
    <w:sectPr w:rsidR="000B610B" w:rsidRPr="009758DE" w:rsidSect="004F6A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4FCF" w14:textId="77777777" w:rsidR="004F6ADD" w:rsidRDefault="004F6ADD" w:rsidP="004F6ADD">
      <w:pPr>
        <w:spacing w:after="0" w:line="240" w:lineRule="auto"/>
      </w:pPr>
      <w:r>
        <w:separator/>
      </w:r>
    </w:p>
  </w:endnote>
  <w:endnote w:type="continuationSeparator" w:id="0">
    <w:p w14:paraId="34BF386A" w14:textId="77777777" w:rsidR="004F6ADD" w:rsidRDefault="004F6ADD" w:rsidP="004F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DC2F" w14:textId="77777777" w:rsidR="004F6ADD" w:rsidRDefault="004F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95DC" w14:textId="77777777" w:rsidR="004F6ADD" w:rsidRDefault="004F6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1F17" w14:textId="77777777" w:rsidR="004F6ADD" w:rsidRDefault="004F6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A4FB" w14:textId="77777777" w:rsidR="004F6ADD" w:rsidRDefault="004F6ADD" w:rsidP="004F6ADD">
      <w:pPr>
        <w:spacing w:after="0" w:line="240" w:lineRule="auto"/>
      </w:pPr>
      <w:r>
        <w:separator/>
      </w:r>
    </w:p>
  </w:footnote>
  <w:footnote w:type="continuationSeparator" w:id="0">
    <w:p w14:paraId="02CF3149" w14:textId="77777777" w:rsidR="004F6ADD" w:rsidRDefault="004F6ADD" w:rsidP="004F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4071" w14:textId="77777777" w:rsidR="004F6ADD" w:rsidRDefault="004F6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A94D" w14:textId="77777777" w:rsidR="004F6ADD" w:rsidRDefault="004F6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E904" w14:textId="77777777" w:rsidR="004F6ADD" w:rsidRDefault="004F6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AC563D"/>
    <w:multiLevelType w:val="hybridMultilevel"/>
    <w:tmpl w:val="3CD66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B5067"/>
    <w:multiLevelType w:val="hybridMultilevel"/>
    <w:tmpl w:val="C5AAB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3F12D5"/>
    <w:multiLevelType w:val="hybridMultilevel"/>
    <w:tmpl w:val="643A799E"/>
    <w:lvl w:ilvl="0" w:tplc="3D90313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B2204"/>
    <w:multiLevelType w:val="hybridMultilevel"/>
    <w:tmpl w:val="341ED8EC"/>
    <w:lvl w:ilvl="0" w:tplc="3D90313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998968">
    <w:abstractNumId w:val="8"/>
  </w:num>
  <w:num w:numId="2" w16cid:durableId="206727830">
    <w:abstractNumId w:val="6"/>
  </w:num>
  <w:num w:numId="3" w16cid:durableId="781414340">
    <w:abstractNumId w:val="5"/>
  </w:num>
  <w:num w:numId="4" w16cid:durableId="1457018267">
    <w:abstractNumId w:val="4"/>
  </w:num>
  <w:num w:numId="5" w16cid:durableId="1666862383">
    <w:abstractNumId w:val="7"/>
  </w:num>
  <w:num w:numId="6" w16cid:durableId="353187807">
    <w:abstractNumId w:val="3"/>
  </w:num>
  <w:num w:numId="7" w16cid:durableId="1068960307">
    <w:abstractNumId w:val="2"/>
  </w:num>
  <w:num w:numId="8" w16cid:durableId="1462728628">
    <w:abstractNumId w:val="1"/>
  </w:num>
  <w:num w:numId="9" w16cid:durableId="1363552784">
    <w:abstractNumId w:val="0"/>
  </w:num>
  <w:num w:numId="10" w16cid:durableId="469396525">
    <w:abstractNumId w:val="11"/>
  </w:num>
  <w:num w:numId="11" w16cid:durableId="1979413245">
    <w:abstractNumId w:val="12"/>
  </w:num>
  <w:num w:numId="12" w16cid:durableId="25062167">
    <w:abstractNumId w:val="9"/>
  </w:num>
  <w:num w:numId="13" w16cid:durableId="1029336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10B"/>
    <w:rsid w:val="0015074B"/>
    <w:rsid w:val="0029639D"/>
    <w:rsid w:val="00326F90"/>
    <w:rsid w:val="004F6ADD"/>
    <w:rsid w:val="009758DE"/>
    <w:rsid w:val="00AA1D8D"/>
    <w:rsid w:val="00B35510"/>
    <w:rsid w:val="00B47730"/>
    <w:rsid w:val="00C269E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F01AB1"/>
  <w14:defaultImageDpi w14:val="300"/>
  <w15:docId w15:val="{D612C3C3-3DAA-1941-A5F4-7B6D44AA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B3BEB9A10D8E459BD47AF5D8FA3DB7" ma:contentTypeVersion="19" ma:contentTypeDescription="Create a new document." ma:contentTypeScope="" ma:versionID="44e4edefb22c3a7f2e6408d9f8ddbb6a">
  <xsd:schema xmlns:xsd="http://www.w3.org/2001/XMLSchema" xmlns:xs="http://www.w3.org/2001/XMLSchema" xmlns:p="http://schemas.microsoft.com/office/2006/metadata/properties" xmlns:ns2="feffa93e-cba6-43bb-8a73-15ac29ca5438" xmlns:ns3="bc488e00-68d8-4541-a084-0abf67b939b2" targetNamespace="http://schemas.microsoft.com/office/2006/metadata/properties" ma:root="true" ma:fieldsID="d8d541220aeb20071d3ca08efb4bf63f" ns2:_="" ns3:_="">
    <xsd:import namespace="feffa93e-cba6-43bb-8a73-15ac29ca5438"/>
    <xsd:import namespace="bc488e00-68d8-4541-a084-0abf67b93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a93e-cba6-43bb-8a73-15ac29ca5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8e00-68d8-4541-a084-0abf67b939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84d4fb-5e41-4287-a99d-6d48a46c404c}" ma:internalName="TaxCatchAll" ma:showField="CatchAllData" ma:web="bc488e00-68d8-4541-a084-0abf67b93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ffa93e-cba6-43bb-8a73-15ac29ca5438">
      <Terms xmlns="http://schemas.microsoft.com/office/infopath/2007/PartnerControls"/>
    </lcf76f155ced4ddcb4097134ff3c332f>
    <TaxCatchAll xmlns="bc488e00-68d8-4541-a084-0abf67b939b2"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B78654F-2EA9-47E1-A1EE-D00ADAF0DD32}"/>
</file>

<file path=customXml/itemProps3.xml><?xml version="1.0" encoding="utf-8"?>
<ds:datastoreItem xmlns:ds="http://schemas.openxmlformats.org/officeDocument/2006/customXml" ds:itemID="{0D506E6A-0301-41B0-AA61-089DE0CA5746}"/>
</file>

<file path=customXml/itemProps4.xml><?xml version="1.0" encoding="utf-8"?>
<ds:datastoreItem xmlns:ds="http://schemas.openxmlformats.org/officeDocument/2006/customXml" ds:itemID="{8BC02D65-5721-4391-A9DA-CAB4AE92D1F6}"/>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Habergham-Mawson, Stacey</cp:lastModifiedBy>
  <cp:revision>3</cp:revision>
  <dcterms:created xsi:type="dcterms:W3CDTF">2025-10-24T09:12:00Z</dcterms:created>
  <dcterms:modified xsi:type="dcterms:W3CDTF">2025-10-24T09:12:00Z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0x01010097B3BEB9A10D8E459BD47AF5D8FA3DB7</vt:lpwstr>
  </property>
</Properties>
</file>