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3EEFC"/>
  <w:body>
    <w:p w14:paraId="78A2D6A3" w14:textId="77777777" w:rsidR="00CA15D6" w:rsidRPr="00BC3175" w:rsidRDefault="00910ECA" w:rsidP="00BC3175">
      <w:pPr>
        <w:pStyle w:val="Heading1"/>
        <w:rPr>
          <w:color w:val="244061" w:themeColor="accent1" w:themeShade="80"/>
        </w:rPr>
      </w:pPr>
      <w:r w:rsidRPr="00BC3175">
        <w:rPr>
          <w:color w:val="244061" w:themeColor="accent1" w:themeShade="80"/>
        </w:rPr>
        <w:t>Empowering Diversity: Full EDI Grant Report</w:t>
      </w:r>
    </w:p>
    <w:p w14:paraId="1A1123ED" w14:textId="437D6145" w:rsidR="00CA15D6" w:rsidRPr="00F735EC" w:rsidRDefault="00910ECA">
      <w:pPr>
        <w:rPr>
          <w:rFonts w:ascii="Arial" w:hAnsi="Arial" w:cs="Arial"/>
          <w:sz w:val="24"/>
          <w:szCs w:val="24"/>
          <w:lang w:val="en-GB"/>
        </w:rPr>
      </w:pPr>
      <w:r w:rsidRPr="00F735EC">
        <w:rPr>
          <w:rFonts w:ascii="Arial" w:hAnsi="Arial" w:cs="Arial"/>
          <w:sz w:val="24"/>
          <w:szCs w:val="24"/>
          <w:lang w:val="en-GB"/>
        </w:rPr>
        <w:t xml:space="preserve">This </w:t>
      </w:r>
      <w:r w:rsidRPr="00F735EC">
        <w:rPr>
          <w:rFonts w:ascii="Arial" w:hAnsi="Arial" w:cs="Arial"/>
          <w:sz w:val="24"/>
          <w:szCs w:val="24"/>
          <w:lang w:val="en-GB"/>
        </w:rPr>
        <w:t>report outlines the progress, activities, findings, and future plans from the project ‘Empowering Diversity: An Anti-Prejudice Education Website to Inspire Under-Represented Groups in Space Science and STEM’. Funded through the EDI Grant, the project aimed to foster inclusivity, enhance representation, and improve accessibility across The Schools’ Observatory (TSO) website and outreach initiatives.</w:t>
      </w:r>
    </w:p>
    <w:p w14:paraId="1E9C068E" w14:textId="77777777" w:rsidR="00CA15D6" w:rsidRPr="00BC3175" w:rsidRDefault="00910ECA" w:rsidP="00BC3175">
      <w:pPr>
        <w:pStyle w:val="Heading2"/>
        <w:rPr>
          <w:color w:val="244061" w:themeColor="accent1" w:themeShade="80"/>
        </w:rPr>
      </w:pPr>
      <w:r w:rsidRPr="00BC3175">
        <w:rPr>
          <w:color w:val="244061" w:themeColor="accent1" w:themeShade="80"/>
        </w:rPr>
        <w:t>1. Project Overview and Aims</w:t>
      </w:r>
    </w:p>
    <w:p w14:paraId="670F684D" w14:textId="77777777" w:rsidR="00BC3175" w:rsidRDefault="00910ECA" w:rsidP="00BC3175">
      <w:pPr>
        <w:spacing w:after="0"/>
        <w:rPr>
          <w:rFonts w:ascii="Arial" w:hAnsi="Arial" w:cs="Arial"/>
          <w:sz w:val="24"/>
          <w:szCs w:val="24"/>
          <w:lang w:val="en-GB"/>
        </w:rPr>
      </w:pPr>
      <w:r w:rsidRPr="00BC3175">
        <w:rPr>
          <w:rFonts w:ascii="Arial" w:hAnsi="Arial" w:cs="Arial"/>
          <w:sz w:val="24"/>
          <w:szCs w:val="24"/>
          <w:lang w:val="en-GB"/>
        </w:rPr>
        <w:t>The project’s aims were to:</w:t>
      </w:r>
    </w:p>
    <w:p w14:paraId="7BB1C551" w14:textId="77777777" w:rsidR="00BC3175" w:rsidRDefault="00910ECA" w:rsidP="00BC3175">
      <w:pPr>
        <w:pStyle w:val="ListParagraph"/>
        <w:numPr>
          <w:ilvl w:val="0"/>
          <w:numId w:val="29"/>
        </w:numPr>
        <w:rPr>
          <w:rFonts w:ascii="Arial" w:hAnsi="Arial" w:cs="Arial"/>
          <w:sz w:val="24"/>
          <w:szCs w:val="24"/>
          <w:lang w:val="en-GB"/>
        </w:rPr>
      </w:pPr>
      <w:r w:rsidRPr="00BC3175">
        <w:rPr>
          <w:rFonts w:ascii="Arial" w:hAnsi="Arial" w:cs="Arial"/>
          <w:sz w:val="24"/>
          <w:szCs w:val="24"/>
          <w:lang w:val="en-GB"/>
        </w:rPr>
        <w:t>Promote inclusivity and representation for students and educators from all backgrounds.</w:t>
      </w:r>
    </w:p>
    <w:p w14:paraId="238E6D35" w14:textId="77777777" w:rsidR="00BC3175" w:rsidRDefault="00910ECA" w:rsidP="00BC3175">
      <w:pPr>
        <w:pStyle w:val="ListParagraph"/>
        <w:numPr>
          <w:ilvl w:val="0"/>
          <w:numId w:val="29"/>
        </w:numPr>
        <w:rPr>
          <w:rFonts w:ascii="Arial" w:hAnsi="Arial" w:cs="Arial"/>
          <w:sz w:val="24"/>
          <w:szCs w:val="24"/>
          <w:lang w:val="en-GB"/>
        </w:rPr>
      </w:pPr>
      <w:r w:rsidRPr="00BC3175">
        <w:rPr>
          <w:rFonts w:ascii="Arial" w:hAnsi="Arial" w:cs="Arial"/>
          <w:sz w:val="24"/>
          <w:szCs w:val="24"/>
          <w:lang w:val="en-GB"/>
        </w:rPr>
        <w:t>Address systemic barriers contributing to underrepresentation in STEM.</w:t>
      </w:r>
    </w:p>
    <w:p w14:paraId="2690F25B" w14:textId="77777777" w:rsidR="00BC3175" w:rsidRDefault="00910ECA" w:rsidP="00BC3175">
      <w:pPr>
        <w:pStyle w:val="ListParagraph"/>
        <w:numPr>
          <w:ilvl w:val="0"/>
          <w:numId w:val="29"/>
        </w:numPr>
        <w:rPr>
          <w:rFonts w:ascii="Arial" w:hAnsi="Arial" w:cs="Arial"/>
          <w:sz w:val="24"/>
          <w:szCs w:val="24"/>
          <w:lang w:val="en-GB"/>
        </w:rPr>
      </w:pPr>
      <w:r w:rsidRPr="00BC3175">
        <w:rPr>
          <w:rFonts w:ascii="Arial" w:hAnsi="Arial" w:cs="Arial"/>
          <w:sz w:val="24"/>
          <w:szCs w:val="24"/>
          <w:lang w:val="en-GB"/>
        </w:rPr>
        <w:t>Build confidence among diverse learners through role models and accessible content.</w:t>
      </w:r>
    </w:p>
    <w:p w14:paraId="3789C8CA" w14:textId="77777777" w:rsidR="00BC3175" w:rsidRDefault="00910ECA" w:rsidP="00BC3175">
      <w:pPr>
        <w:pStyle w:val="ListParagraph"/>
        <w:numPr>
          <w:ilvl w:val="0"/>
          <w:numId w:val="29"/>
        </w:numPr>
        <w:rPr>
          <w:rFonts w:ascii="Arial" w:hAnsi="Arial" w:cs="Arial"/>
          <w:sz w:val="24"/>
          <w:szCs w:val="24"/>
          <w:lang w:val="en-GB"/>
        </w:rPr>
      </w:pPr>
      <w:r w:rsidRPr="00BC3175">
        <w:rPr>
          <w:rFonts w:ascii="Arial" w:hAnsi="Arial" w:cs="Arial"/>
          <w:sz w:val="24"/>
          <w:szCs w:val="24"/>
          <w:lang w:val="en-GB"/>
        </w:rPr>
        <w:t>Advance educational equity by ensuring high-quality STEM access for all.</w:t>
      </w:r>
    </w:p>
    <w:p w14:paraId="62B425B0" w14:textId="756A559B" w:rsidR="00CA15D6" w:rsidRPr="00BC3175" w:rsidRDefault="00910ECA" w:rsidP="00BC3175">
      <w:pPr>
        <w:pStyle w:val="ListParagraph"/>
        <w:numPr>
          <w:ilvl w:val="0"/>
          <w:numId w:val="29"/>
        </w:numPr>
        <w:rPr>
          <w:rFonts w:ascii="Arial" w:hAnsi="Arial" w:cs="Arial"/>
          <w:sz w:val="24"/>
          <w:szCs w:val="24"/>
          <w:lang w:val="en-GB"/>
        </w:rPr>
      </w:pPr>
      <w:r w:rsidRPr="00BC3175">
        <w:rPr>
          <w:rFonts w:ascii="Arial" w:hAnsi="Arial" w:cs="Arial"/>
          <w:sz w:val="24"/>
          <w:szCs w:val="24"/>
          <w:lang w:val="en-GB"/>
        </w:rPr>
        <w:t xml:space="preserve">Increase awareness of </w:t>
      </w:r>
      <w:r w:rsidR="00067740">
        <w:rPr>
          <w:rFonts w:ascii="Arial" w:hAnsi="Arial" w:cs="Arial"/>
          <w:sz w:val="24"/>
          <w:szCs w:val="24"/>
          <w:lang w:val="en-GB"/>
        </w:rPr>
        <w:t>the</w:t>
      </w:r>
      <w:r w:rsidRPr="00BC3175">
        <w:rPr>
          <w:rFonts w:ascii="Arial" w:hAnsi="Arial" w:cs="Arial"/>
          <w:sz w:val="24"/>
          <w:szCs w:val="24"/>
          <w:lang w:val="en-GB"/>
        </w:rPr>
        <w:t xml:space="preserve"> role </w:t>
      </w:r>
      <w:r w:rsidR="00067740">
        <w:rPr>
          <w:rFonts w:ascii="Arial" w:hAnsi="Arial" w:cs="Arial"/>
          <w:sz w:val="24"/>
          <w:szCs w:val="24"/>
          <w:lang w:val="en-GB"/>
        </w:rPr>
        <w:t xml:space="preserve">diversity plays </w:t>
      </w:r>
      <w:r w:rsidRPr="00BC3175">
        <w:rPr>
          <w:rFonts w:ascii="Arial" w:hAnsi="Arial" w:cs="Arial"/>
          <w:sz w:val="24"/>
          <w:szCs w:val="24"/>
          <w:lang w:val="en-GB"/>
        </w:rPr>
        <w:t>in driving innovation and scientific progress.</w:t>
      </w:r>
    </w:p>
    <w:p w14:paraId="3416C24E" w14:textId="77777777" w:rsidR="00CA15D6" w:rsidRPr="00BC3175" w:rsidRDefault="00910ECA" w:rsidP="00BC3175">
      <w:pPr>
        <w:pStyle w:val="Heading2"/>
        <w:rPr>
          <w:color w:val="244061" w:themeColor="accent1" w:themeShade="80"/>
        </w:rPr>
      </w:pPr>
      <w:r w:rsidRPr="00BC3175">
        <w:rPr>
          <w:color w:val="244061" w:themeColor="accent1" w:themeShade="80"/>
        </w:rPr>
        <w:t>2. Methodology</w:t>
      </w:r>
    </w:p>
    <w:p w14:paraId="3CC6C7E6" w14:textId="77777777" w:rsidR="00BC3175" w:rsidRDefault="00910ECA" w:rsidP="00BC3175">
      <w:pPr>
        <w:spacing w:after="0"/>
        <w:rPr>
          <w:rFonts w:ascii="Arial" w:hAnsi="Arial" w:cs="Arial"/>
          <w:sz w:val="24"/>
          <w:szCs w:val="24"/>
          <w:lang w:val="en-GB"/>
        </w:rPr>
      </w:pPr>
      <w:r w:rsidRPr="00F735EC">
        <w:rPr>
          <w:rFonts w:ascii="Arial" w:hAnsi="Arial" w:cs="Arial"/>
          <w:sz w:val="24"/>
          <w:szCs w:val="24"/>
          <w:lang w:val="en-GB"/>
        </w:rPr>
        <w:t>A multifaceted approach combined qualitative and technical evaluation methods:</w:t>
      </w:r>
    </w:p>
    <w:p w14:paraId="19325FE7" w14:textId="77777777" w:rsidR="00BC3175" w:rsidRDefault="00910ECA" w:rsidP="00BC3175">
      <w:pPr>
        <w:pStyle w:val="ListParagraph"/>
        <w:numPr>
          <w:ilvl w:val="0"/>
          <w:numId w:val="28"/>
        </w:numPr>
        <w:rPr>
          <w:rFonts w:ascii="Arial" w:hAnsi="Arial" w:cs="Arial"/>
          <w:sz w:val="24"/>
          <w:szCs w:val="24"/>
          <w:lang w:val="en-GB"/>
        </w:rPr>
      </w:pPr>
      <w:r w:rsidRPr="00BC3175">
        <w:rPr>
          <w:rFonts w:ascii="Arial" w:hAnsi="Arial" w:cs="Arial"/>
          <w:sz w:val="24"/>
          <w:szCs w:val="24"/>
          <w:lang w:val="en-GB"/>
        </w:rPr>
        <w:t>Language decolonisation using the LJMU CDPIR tool to assess propositional density (PD).</w:t>
      </w:r>
    </w:p>
    <w:p w14:paraId="67D574A5" w14:textId="0B631EF6" w:rsidR="00BC3175" w:rsidRDefault="00910ECA" w:rsidP="00BC3175">
      <w:pPr>
        <w:pStyle w:val="ListParagraph"/>
        <w:numPr>
          <w:ilvl w:val="0"/>
          <w:numId w:val="28"/>
        </w:numPr>
        <w:rPr>
          <w:rFonts w:ascii="Arial" w:hAnsi="Arial" w:cs="Arial"/>
          <w:sz w:val="24"/>
          <w:szCs w:val="24"/>
          <w:lang w:val="en-GB"/>
        </w:rPr>
      </w:pPr>
      <w:r w:rsidRPr="00BC3175">
        <w:rPr>
          <w:rFonts w:ascii="Arial" w:hAnsi="Arial" w:cs="Arial"/>
          <w:sz w:val="24"/>
          <w:szCs w:val="24"/>
          <w:lang w:val="en-GB"/>
        </w:rPr>
        <w:t xml:space="preserve">Subject-matter experts assessed website accessibility </w:t>
      </w:r>
      <w:r w:rsidR="00F735EC" w:rsidRPr="00BC3175">
        <w:rPr>
          <w:rFonts w:ascii="Arial" w:hAnsi="Arial" w:cs="Arial"/>
          <w:sz w:val="24"/>
          <w:szCs w:val="24"/>
          <w:lang w:val="en-GB"/>
        </w:rPr>
        <w:t>(</w:t>
      </w:r>
      <w:r w:rsidR="00067740">
        <w:rPr>
          <w:rFonts w:ascii="Arial" w:hAnsi="Arial" w:cs="Arial"/>
          <w:sz w:val="24"/>
          <w:szCs w:val="24"/>
          <w:lang w:val="en-GB"/>
        </w:rPr>
        <w:t xml:space="preserve">using the </w:t>
      </w:r>
      <w:r w:rsidR="00F735EC" w:rsidRPr="00BC3175">
        <w:rPr>
          <w:rFonts w:ascii="Arial" w:hAnsi="Arial" w:cs="Arial"/>
          <w:sz w:val="24"/>
          <w:szCs w:val="24"/>
          <w:lang w:val="en-GB"/>
        </w:rPr>
        <w:t xml:space="preserve">Accessibility Checker) </w:t>
      </w:r>
      <w:r w:rsidRPr="00BC3175">
        <w:rPr>
          <w:rFonts w:ascii="Arial" w:hAnsi="Arial" w:cs="Arial"/>
          <w:sz w:val="24"/>
          <w:szCs w:val="24"/>
          <w:lang w:val="en-GB"/>
        </w:rPr>
        <w:t>and representation.</w:t>
      </w:r>
    </w:p>
    <w:p w14:paraId="735025DD" w14:textId="77777777" w:rsidR="00BC3175" w:rsidRDefault="00910ECA" w:rsidP="00BC3175">
      <w:pPr>
        <w:pStyle w:val="ListParagraph"/>
        <w:numPr>
          <w:ilvl w:val="0"/>
          <w:numId w:val="28"/>
        </w:numPr>
        <w:rPr>
          <w:rFonts w:ascii="Arial" w:hAnsi="Arial" w:cs="Arial"/>
          <w:sz w:val="24"/>
          <w:szCs w:val="24"/>
          <w:lang w:val="en-GB"/>
        </w:rPr>
      </w:pPr>
      <w:r w:rsidRPr="00BC3175">
        <w:rPr>
          <w:rFonts w:ascii="Arial" w:hAnsi="Arial" w:cs="Arial"/>
          <w:sz w:val="24"/>
          <w:szCs w:val="24"/>
          <w:lang w:val="en-GB"/>
        </w:rPr>
        <w:t>External EDI reviews commissioned from Her Place for Space, Physics Forward, and Siddharth Kankaria.</w:t>
      </w:r>
    </w:p>
    <w:p w14:paraId="3E5979F3" w14:textId="77777777" w:rsidR="00BC3175" w:rsidRDefault="00910ECA" w:rsidP="00BC3175">
      <w:pPr>
        <w:pStyle w:val="ListParagraph"/>
        <w:numPr>
          <w:ilvl w:val="0"/>
          <w:numId w:val="28"/>
        </w:numPr>
        <w:rPr>
          <w:rFonts w:ascii="Arial" w:hAnsi="Arial" w:cs="Arial"/>
          <w:sz w:val="24"/>
          <w:szCs w:val="24"/>
          <w:lang w:val="en-GB"/>
        </w:rPr>
      </w:pPr>
      <w:r w:rsidRPr="00BC3175">
        <w:rPr>
          <w:rFonts w:ascii="Arial" w:hAnsi="Arial" w:cs="Arial"/>
          <w:sz w:val="24"/>
          <w:szCs w:val="24"/>
          <w:lang w:val="en-GB"/>
        </w:rPr>
        <w:t>Action Learning Sets (ALS) facilitated reflection and collaborative problem-solving.</w:t>
      </w:r>
    </w:p>
    <w:p w14:paraId="6828FD5B" w14:textId="5067EF70" w:rsidR="00CA15D6" w:rsidRPr="00BC3175" w:rsidRDefault="00910ECA" w:rsidP="00BC3175">
      <w:pPr>
        <w:pStyle w:val="ListParagraph"/>
        <w:numPr>
          <w:ilvl w:val="0"/>
          <w:numId w:val="28"/>
        </w:numPr>
        <w:rPr>
          <w:rFonts w:ascii="Arial" w:hAnsi="Arial" w:cs="Arial"/>
          <w:sz w:val="24"/>
          <w:szCs w:val="24"/>
          <w:lang w:val="en-GB"/>
        </w:rPr>
      </w:pPr>
      <w:r w:rsidRPr="00BC3175">
        <w:rPr>
          <w:rFonts w:ascii="Arial" w:hAnsi="Arial" w:cs="Arial"/>
          <w:sz w:val="24"/>
          <w:szCs w:val="24"/>
          <w:lang w:val="en-GB"/>
        </w:rPr>
        <w:t>Engagement with community youth groups using creative evaluation and focus groups.</w:t>
      </w:r>
    </w:p>
    <w:p w14:paraId="078C6FCB" w14:textId="77777777" w:rsidR="00CA15D6" w:rsidRPr="00BC3175" w:rsidRDefault="00910ECA">
      <w:pPr>
        <w:pStyle w:val="Heading2"/>
        <w:rPr>
          <w:rFonts w:ascii="Arial" w:hAnsi="Arial" w:cs="Arial"/>
          <w:color w:val="244061" w:themeColor="accent1" w:themeShade="80"/>
          <w:sz w:val="24"/>
          <w:szCs w:val="24"/>
          <w:lang w:val="en-GB"/>
        </w:rPr>
      </w:pPr>
      <w:r w:rsidRPr="00BC3175">
        <w:rPr>
          <w:rFonts w:ascii="Arial" w:hAnsi="Arial" w:cs="Arial"/>
          <w:color w:val="244061" w:themeColor="accent1" w:themeShade="80"/>
          <w:sz w:val="24"/>
          <w:szCs w:val="24"/>
          <w:lang w:val="en-GB"/>
        </w:rPr>
        <w:t>3. Key Activities</w:t>
      </w:r>
    </w:p>
    <w:p w14:paraId="31A96928" w14:textId="40A00ECB" w:rsidR="00CA15D6" w:rsidRPr="00F735EC" w:rsidRDefault="00910ECA">
      <w:pPr>
        <w:rPr>
          <w:rFonts w:ascii="Arial" w:hAnsi="Arial" w:cs="Arial"/>
          <w:sz w:val="24"/>
          <w:szCs w:val="24"/>
          <w:lang w:val="en-GB"/>
        </w:rPr>
      </w:pPr>
      <w:r w:rsidRPr="00F735EC">
        <w:rPr>
          <w:rFonts w:ascii="Arial" w:hAnsi="Arial" w:cs="Arial"/>
          <w:sz w:val="24"/>
          <w:szCs w:val="24"/>
          <w:lang w:val="en-GB"/>
        </w:rPr>
        <w:t xml:space="preserve">Major milestones included commissioning website audits, completing CDPIR language review, creating 40+ new biographies of diverse figures in astronomy, and hosting six Action Learning Set meetings. Ethics approval for youth focus groups was granted (UREC: 25/ARI/001), </w:t>
      </w:r>
      <w:r w:rsidR="00067740">
        <w:rPr>
          <w:rFonts w:ascii="Arial" w:hAnsi="Arial" w:cs="Arial"/>
          <w:sz w:val="24"/>
          <w:szCs w:val="24"/>
          <w:lang w:val="en-GB"/>
        </w:rPr>
        <w:t>and</w:t>
      </w:r>
      <w:r w:rsidRPr="00F735EC">
        <w:rPr>
          <w:rFonts w:ascii="Arial" w:hAnsi="Arial" w:cs="Arial"/>
          <w:sz w:val="24"/>
          <w:szCs w:val="24"/>
          <w:lang w:val="en-GB"/>
        </w:rPr>
        <w:t xml:space="preserve"> partnerships </w:t>
      </w:r>
      <w:r w:rsidR="00067740">
        <w:rPr>
          <w:rFonts w:ascii="Arial" w:hAnsi="Arial" w:cs="Arial"/>
          <w:sz w:val="24"/>
          <w:szCs w:val="24"/>
          <w:lang w:val="en-GB"/>
        </w:rPr>
        <w:t xml:space="preserve">were </w:t>
      </w:r>
      <w:r w:rsidRPr="00F735EC">
        <w:rPr>
          <w:rFonts w:ascii="Arial" w:hAnsi="Arial" w:cs="Arial"/>
          <w:sz w:val="24"/>
          <w:szCs w:val="24"/>
          <w:lang w:val="en-GB"/>
        </w:rPr>
        <w:t xml:space="preserve">established with the Merseyside Somali Community and </w:t>
      </w:r>
      <w:r w:rsidR="00067740">
        <w:rPr>
          <w:rFonts w:ascii="Arial" w:hAnsi="Arial" w:cs="Arial"/>
          <w:sz w:val="24"/>
          <w:szCs w:val="24"/>
          <w:lang w:val="en-GB"/>
        </w:rPr>
        <w:t xml:space="preserve">the </w:t>
      </w:r>
      <w:r w:rsidRPr="00F735EC">
        <w:rPr>
          <w:rFonts w:ascii="Arial" w:hAnsi="Arial" w:cs="Arial"/>
          <w:sz w:val="24"/>
          <w:szCs w:val="24"/>
          <w:lang w:val="en-GB"/>
        </w:rPr>
        <w:t>Liverpool Arabic Centre to run sessions in the next academic year.</w:t>
      </w:r>
    </w:p>
    <w:p w14:paraId="4B33F607" w14:textId="77777777" w:rsidR="00CA15D6" w:rsidRPr="00BC3175" w:rsidRDefault="00910ECA">
      <w:pPr>
        <w:pStyle w:val="Heading2"/>
        <w:rPr>
          <w:rFonts w:ascii="Arial" w:hAnsi="Arial" w:cs="Arial"/>
          <w:color w:val="244061" w:themeColor="accent1" w:themeShade="80"/>
          <w:sz w:val="24"/>
          <w:szCs w:val="24"/>
          <w:lang w:val="en-GB"/>
        </w:rPr>
      </w:pPr>
      <w:r w:rsidRPr="00BC3175">
        <w:rPr>
          <w:rFonts w:ascii="Arial" w:hAnsi="Arial" w:cs="Arial"/>
          <w:color w:val="244061" w:themeColor="accent1" w:themeShade="80"/>
          <w:sz w:val="24"/>
          <w:szCs w:val="24"/>
          <w:lang w:val="en-GB"/>
        </w:rPr>
        <w:t>4. Outcomes and Impact</w:t>
      </w:r>
    </w:p>
    <w:p w14:paraId="5A292008" w14:textId="77777777" w:rsidR="00BC3175" w:rsidRDefault="00910ECA" w:rsidP="00BC3175">
      <w:pPr>
        <w:spacing w:after="0"/>
        <w:rPr>
          <w:rFonts w:ascii="Arial" w:hAnsi="Arial" w:cs="Arial"/>
          <w:sz w:val="24"/>
          <w:szCs w:val="24"/>
          <w:lang w:val="en-GB"/>
        </w:rPr>
      </w:pPr>
      <w:r w:rsidRPr="00BC3175">
        <w:rPr>
          <w:rFonts w:ascii="Arial" w:hAnsi="Arial" w:cs="Arial"/>
          <w:sz w:val="24"/>
          <w:szCs w:val="24"/>
          <w:lang w:val="en-GB"/>
        </w:rPr>
        <w:t>Key outcomes:</w:t>
      </w:r>
    </w:p>
    <w:p w14:paraId="6DD9F2D0" w14:textId="31CE44A7" w:rsidR="00BC3175" w:rsidRDefault="00067740" w:rsidP="00BC3175">
      <w:pPr>
        <w:pStyle w:val="ListParagraph"/>
        <w:numPr>
          <w:ilvl w:val="0"/>
          <w:numId w:val="27"/>
        </w:numPr>
        <w:rPr>
          <w:rFonts w:ascii="Arial" w:hAnsi="Arial" w:cs="Arial"/>
          <w:sz w:val="24"/>
          <w:szCs w:val="24"/>
          <w:lang w:val="en-GB"/>
        </w:rPr>
      </w:pPr>
      <w:r>
        <w:rPr>
          <w:rFonts w:ascii="Arial" w:hAnsi="Arial" w:cs="Arial"/>
          <w:sz w:val="24"/>
          <w:szCs w:val="24"/>
          <w:lang w:val="en-GB"/>
        </w:rPr>
        <w:lastRenderedPageBreak/>
        <w:t>The w</w:t>
      </w:r>
      <w:r w:rsidR="00910ECA" w:rsidRPr="00BC3175">
        <w:rPr>
          <w:rFonts w:ascii="Arial" w:hAnsi="Arial" w:cs="Arial"/>
          <w:sz w:val="24"/>
          <w:szCs w:val="24"/>
          <w:lang w:val="en-GB"/>
        </w:rPr>
        <w:t>ebsite</w:t>
      </w:r>
      <w:r w:rsidR="00F735EC" w:rsidRPr="00BC3175">
        <w:rPr>
          <w:rFonts w:ascii="Arial" w:hAnsi="Arial" w:cs="Arial"/>
          <w:sz w:val="24"/>
          <w:szCs w:val="24"/>
          <w:lang w:val="en-GB"/>
        </w:rPr>
        <w:t xml:space="preserve"> has begun to be</w:t>
      </w:r>
      <w:r w:rsidR="00910ECA" w:rsidRPr="00BC3175">
        <w:rPr>
          <w:rFonts w:ascii="Arial" w:hAnsi="Arial" w:cs="Arial"/>
          <w:sz w:val="24"/>
          <w:szCs w:val="24"/>
          <w:lang w:val="en-GB"/>
        </w:rPr>
        <w:t xml:space="preserve"> decolonised to reflect anti-prejudice principles.</w:t>
      </w:r>
    </w:p>
    <w:p w14:paraId="7373804F" w14:textId="77777777" w:rsidR="00BC3175" w:rsidRDefault="00910ECA" w:rsidP="00BC3175">
      <w:pPr>
        <w:pStyle w:val="ListParagraph"/>
        <w:numPr>
          <w:ilvl w:val="0"/>
          <w:numId w:val="27"/>
        </w:numPr>
        <w:rPr>
          <w:rFonts w:ascii="Arial" w:hAnsi="Arial" w:cs="Arial"/>
          <w:sz w:val="24"/>
          <w:szCs w:val="24"/>
          <w:lang w:val="en-GB"/>
        </w:rPr>
      </w:pPr>
      <w:r w:rsidRPr="00BC3175">
        <w:rPr>
          <w:rFonts w:ascii="Arial" w:hAnsi="Arial" w:cs="Arial"/>
          <w:sz w:val="24"/>
          <w:szCs w:val="24"/>
          <w:lang w:val="en-GB"/>
        </w:rPr>
        <w:t>26 new Global South career heroes and 15 non-European historical biographies added.</w:t>
      </w:r>
    </w:p>
    <w:p w14:paraId="16215177" w14:textId="77777777" w:rsidR="00BC3175" w:rsidRDefault="00910ECA" w:rsidP="00BC3175">
      <w:pPr>
        <w:pStyle w:val="ListParagraph"/>
        <w:numPr>
          <w:ilvl w:val="0"/>
          <w:numId w:val="27"/>
        </w:numPr>
        <w:rPr>
          <w:rFonts w:ascii="Arial" w:hAnsi="Arial" w:cs="Arial"/>
          <w:sz w:val="24"/>
          <w:szCs w:val="24"/>
          <w:lang w:val="en-GB"/>
        </w:rPr>
      </w:pPr>
      <w:r w:rsidRPr="00BC3175">
        <w:rPr>
          <w:rFonts w:ascii="Arial" w:hAnsi="Arial" w:cs="Arial"/>
          <w:sz w:val="24"/>
          <w:szCs w:val="24"/>
          <w:lang w:val="en-GB"/>
        </w:rPr>
        <w:t>Cultural Astronomy section established, introducing non-Western traditions.</w:t>
      </w:r>
    </w:p>
    <w:p w14:paraId="3A1D8D5B" w14:textId="3680AE71" w:rsidR="00BC3175" w:rsidRDefault="00910ECA" w:rsidP="00BC3175">
      <w:pPr>
        <w:pStyle w:val="ListParagraph"/>
        <w:numPr>
          <w:ilvl w:val="0"/>
          <w:numId w:val="27"/>
        </w:numPr>
        <w:rPr>
          <w:rFonts w:ascii="Arial" w:hAnsi="Arial" w:cs="Arial"/>
          <w:sz w:val="24"/>
          <w:szCs w:val="24"/>
          <w:lang w:val="en-GB"/>
        </w:rPr>
      </w:pPr>
      <w:r w:rsidRPr="00BC3175">
        <w:rPr>
          <w:rFonts w:ascii="Arial" w:hAnsi="Arial" w:cs="Arial"/>
          <w:sz w:val="24"/>
          <w:szCs w:val="24"/>
          <w:lang w:val="en-GB"/>
        </w:rPr>
        <w:t xml:space="preserve">CDPIR review improved text readability across </w:t>
      </w:r>
      <w:r w:rsidR="00067740">
        <w:rPr>
          <w:rFonts w:ascii="Arial" w:hAnsi="Arial" w:cs="Arial"/>
          <w:sz w:val="24"/>
          <w:szCs w:val="24"/>
          <w:lang w:val="en-GB"/>
        </w:rPr>
        <w:t xml:space="preserve">more than </w:t>
      </w:r>
      <w:r w:rsidRPr="00BC3175">
        <w:rPr>
          <w:rFonts w:ascii="Arial" w:hAnsi="Arial" w:cs="Arial"/>
          <w:sz w:val="24"/>
          <w:szCs w:val="24"/>
          <w:lang w:val="en-GB"/>
        </w:rPr>
        <w:t>320 webpages.</w:t>
      </w:r>
    </w:p>
    <w:p w14:paraId="34441BBD" w14:textId="77777777" w:rsidR="00BC3175" w:rsidRDefault="00910ECA" w:rsidP="00BC3175">
      <w:pPr>
        <w:pStyle w:val="ListParagraph"/>
        <w:numPr>
          <w:ilvl w:val="0"/>
          <w:numId w:val="27"/>
        </w:numPr>
        <w:rPr>
          <w:rFonts w:ascii="Arial" w:hAnsi="Arial" w:cs="Arial"/>
          <w:sz w:val="24"/>
          <w:szCs w:val="24"/>
          <w:lang w:val="en-GB"/>
        </w:rPr>
      </w:pPr>
      <w:r w:rsidRPr="00BC3175">
        <w:rPr>
          <w:rFonts w:ascii="Arial" w:hAnsi="Arial" w:cs="Arial"/>
          <w:sz w:val="24"/>
          <w:szCs w:val="24"/>
          <w:lang w:val="en-GB"/>
        </w:rPr>
        <w:t xml:space="preserve">External accessibility audit aligned site improvements </w:t>
      </w:r>
      <w:r w:rsidR="00F735EC" w:rsidRPr="00BC3175">
        <w:rPr>
          <w:rFonts w:ascii="Arial" w:hAnsi="Arial" w:cs="Arial"/>
          <w:sz w:val="24"/>
          <w:szCs w:val="24"/>
          <w:lang w:val="en-GB"/>
        </w:rPr>
        <w:t xml:space="preserve">in line </w:t>
      </w:r>
      <w:r w:rsidRPr="00BC3175">
        <w:rPr>
          <w:rFonts w:ascii="Arial" w:hAnsi="Arial" w:cs="Arial"/>
          <w:sz w:val="24"/>
          <w:szCs w:val="24"/>
          <w:lang w:val="en-GB"/>
        </w:rPr>
        <w:t>with WCAG 2.2</w:t>
      </w:r>
      <w:r w:rsidR="00F735EC" w:rsidRPr="00BC3175">
        <w:rPr>
          <w:rFonts w:ascii="Arial" w:hAnsi="Arial" w:cs="Arial"/>
          <w:sz w:val="24"/>
          <w:szCs w:val="24"/>
          <w:lang w:val="en-GB"/>
        </w:rPr>
        <w:t xml:space="preserve"> standards</w:t>
      </w:r>
      <w:r w:rsidRPr="00BC3175">
        <w:rPr>
          <w:rFonts w:ascii="Arial" w:hAnsi="Arial" w:cs="Arial"/>
          <w:sz w:val="24"/>
          <w:szCs w:val="24"/>
          <w:lang w:val="en-GB"/>
        </w:rPr>
        <w:t>.</w:t>
      </w:r>
    </w:p>
    <w:p w14:paraId="237243DC" w14:textId="445EDF35" w:rsidR="00CA15D6" w:rsidRPr="00BC3175" w:rsidRDefault="00910ECA" w:rsidP="00BC3175">
      <w:pPr>
        <w:pStyle w:val="ListParagraph"/>
        <w:numPr>
          <w:ilvl w:val="0"/>
          <w:numId w:val="27"/>
        </w:numPr>
        <w:rPr>
          <w:rFonts w:ascii="Arial" w:hAnsi="Arial" w:cs="Arial"/>
          <w:sz w:val="24"/>
          <w:szCs w:val="24"/>
          <w:lang w:val="en-GB"/>
        </w:rPr>
      </w:pPr>
      <w:r w:rsidRPr="00BC3175">
        <w:rPr>
          <w:rFonts w:ascii="Arial" w:hAnsi="Arial" w:cs="Arial"/>
          <w:sz w:val="24"/>
          <w:szCs w:val="24"/>
          <w:lang w:val="en-GB"/>
        </w:rPr>
        <w:t>Enhanced professional awareness of inclusivity through ALS reflection.</w:t>
      </w:r>
      <w:r w:rsidRPr="00BC3175">
        <w:rPr>
          <w:rFonts w:ascii="Arial" w:hAnsi="Arial" w:cs="Arial"/>
          <w:sz w:val="24"/>
          <w:szCs w:val="24"/>
          <w:lang w:val="en-GB"/>
        </w:rPr>
        <w:br/>
      </w:r>
    </w:p>
    <w:p w14:paraId="71A2162D" w14:textId="77777777" w:rsidR="00CA15D6" w:rsidRPr="00BC3175" w:rsidRDefault="00910ECA">
      <w:pPr>
        <w:pStyle w:val="Heading2"/>
        <w:rPr>
          <w:rFonts w:ascii="Arial" w:hAnsi="Arial" w:cs="Arial"/>
          <w:color w:val="244061" w:themeColor="accent1" w:themeShade="80"/>
          <w:sz w:val="24"/>
          <w:szCs w:val="24"/>
          <w:lang w:val="en-GB"/>
        </w:rPr>
      </w:pPr>
      <w:r w:rsidRPr="00BC3175">
        <w:rPr>
          <w:rFonts w:ascii="Arial" w:hAnsi="Arial" w:cs="Arial"/>
          <w:color w:val="244061" w:themeColor="accent1" w:themeShade="80"/>
          <w:sz w:val="24"/>
          <w:szCs w:val="24"/>
          <w:lang w:val="en-GB"/>
        </w:rPr>
        <w:t>5. Budget Summary</w:t>
      </w:r>
    </w:p>
    <w:p w14:paraId="7239B295" w14:textId="77777777" w:rsidR="00CA15D6" w:rsidRPr="00F735EC" w:rsidRDefault="00910ECA">
      <w:pPr>
        <w:rPr>
          <w:rFonts w:ascii="Arial" w:hAnsi="Arial" w:cs="Arial"/>
          <w:sz w:val="24"/>
          <w:szCs w:val="24"/>
          <w:lang w:val="en-GB"/>
        </w:rPr>
      </w:pPr>
      <w:r w:rsidRPr="00F735EC">
        <w:rPr>
          <w:rFonts w:ascii="Arial" w:hAnsi="Arial" w:cs="Arial"/>
          <w:sz w:val="24"/>
          <w:szCs w:val="24"/>
          <w:lang w:val="en-GB"/>
        </w:rPr>
        <w:t>The total project budget included £7,700 in EDI funds and £5,000 in-kind contributions. Actual spending (£8,343) reflected additional costs for facilitation and EDI reviews, balanced by savings in travel and catering. Unspent youth focus group funds will roll forward to the 2025/26 phase.</w:t>
      </w:r>
    </w:p>
    <w:p w14:paraId="2A84F019" w14:textId="77777777" w:rsidR="00CA15D6" w:rsidRPr="00BC3175" w:rsidRDefault="00910ECA">
      <w:pPr>
        <w:pStyle w:val="Heading2"/>
        <w:rPr>
          <w:rFonts w:ascii="Arial" w:hAnsi="Arial" w:cs="Arial"/>
          <w:color w:val="244061" w:themeColor="accent1" w:themeShade="80"/>
          <w:sz w:val="24"/>
          <w:szCs w:val="24"/>
          <w:lang w:val="en-GB"/>
        </w:rPr>
      </w:pPr>
      <w:r w:rsidRPr="00BC3175">
        <w:rPr>
          <w:rFonts w:ascii="Arial" w:hAnsi="Arial" w:cs="Arial"/>
          <w:color w:val="244061" w:themeColor="accent1" w:themeShade="80"/>
          <w:sz w:val="24"/>
          <w:szCs w:val="24"/>
          <w:lang w:val="en-GB"/>
        </w:rPr>
        <w:t>6. Key Findings</w:t>
      </w:r>
    </w:p>
    <w:p w14:paraId="48FBAD33" w14:textId="375B044D" w:rsidR="00CA15D6" w:rsidRPr="00F735EC" w:rsidRDefault="00910ECA">
      <w:pPr>
        <w:rPr>
          <w:rFonts w:ascii="Arial" w:hAnsi="Arial" w:cs="Arial"/>
          <w:sz w:val="24"/>
          <w:szCs w:val="24"/>
          <w:lang w:val="en-GB"/>
        </w:rPr>
      </w:pPr>
      <w:r w:rsidRPr="00F735EC">
        <w:rPr>
          <w:rFonts w:ascii="Arial" w:hAnsi="Arial" w:cs="Arial"/>
          <w:sz w:val="24"/>
          <w:szCs w:val="24"/>
          <w:lang w:val="en-GB"/>
        </w:rPr>
        <w:t>External reviews found strong evidence of inclusive design, diverse career representation, and a</w:t>
      </w:r>
      <w:r w:rsidRPr="00F735EC">
        <w:rPr>
          <w:rFonts w:ascii="Arial" w:hAnsi="Arial" w:cs="Arial"/>
          <w:sz w:val="24"/>
          <w:szCs w:val="24"/>
          <w:lang w:val="en-GB"/>
        </w:rPr>
        <w:t xml:space="preserve"> commitment</w:t>
      </w:r>
      <w:r w:rsidR="00067740">
        <w:rPr>
          <w:rFonts w:ascii="Arial" w:hAnsi="Arial" w:cs="Arial"/>
          <w:sz w:val="24"/>
          <w:szCs w:val="24"/>
          <w:lang w:val="en-GB"/>
        </w:rPr>
        <w:t xml:space="preserve"> to accessibility</w:t>
      </w:r>
      <w:r w:rsidRPr="00F735EC">
        <w:rPr>
          <w:rFonts w:ascii="Arial" w:hAnsi="Arial" w:cs="Arial"/>
          <w:sz w:val="24"/>
          <w:szCs w:val="24"/>
          <w:lang w:val="en-GB"/>
        </w:rPr>
        <w:t xml:space="preserve">. Recommendations highlighted the need for bespoke imagery, multilingual access, expanded Indigenous astronomy content, and </w:t>
      </w:r>
      <w:r w:rsidR="00067740">
        <w:rPr>
          <w:rFonts w:ascii="Arial" w:hAnsi="Arial" w:cs="Arial"/>
          <w:sz w:val="24"/>
          <w:szCs w:val="24"/>
          <w:lang w:val="en-GB"/>
        </w:rPr>
        <w:t xml:space="preserve">mechanisms for </w:t>
      </w:r>
      <w:r w:rsidRPr="00F735EC">
        <w:rPr>
          <w:rFonts w:ascii="Arial" w:hAnsi="Arial" w:cs="Arial"/>
          <w:sz w:val="24"/>
          <w:szCs w:val="24"/>
          <w:lang w:val="en-GB"/>
        </w:rPr>
        <w:t>community engagement</w:t>
      </w:r>
      <w:r w:rsidRPr="00F735EC">
        <w:rPr>
          <w:rFonts w:ascii="Arial" w:hAnsi="Arial" w:cs="Arial"/>
          <w:sz w:val="24"/>
          <w:szCs w:val="24"/>
          <w:lang w:val="en-GB"/>
        </w:rPr>
        <w:t>. The ALS revealed the importance of trust, vulnerability, and safe reflective spaces in fostering genuine inclusivity.</w:t>
      </w:r>
    </w:p>
    <w:p w14:paraId="7A304741" w14:textId="77777777" w:rsidR="00CA15D6" w:rsidRPr="00BC3175" w:rsidRDefault="00910ECA">
      <w:pPr>
        <w:pStyle w:val="Heading2"/>
        <w:rPr>
          <w:rFonts w:ascii="Arial" w:hAnsi="Arial" w:cs="Arial"/>
          <w:color w:val="244061" w:themeColor="accent1" w:themeShade="80"/>
          <w:sz w:val="24"/>
          <w:szCs w:val="24"/>
          <w:lang w:val="en-GB"/>
        </w:rPr>
      </w:pPr>
      <w:r w:rsidRPr="00BC3175">
        <w:rPr>
          <w:rFonts w:ascii="Arial" w:hAnsi="Arial" w:cs="Arial"/>
          <w:color w:val="244061" w:themeColor="accent1" w:themeShade="80"/>
          <w:sz w:val="24"/>
          <w:szCs w:val="24"/>
          <w:lang w:val="en-GB"/>
        </w:rPr>
        <w:t>7. Accessibility Review Summary</w:t>
      </w:r>
    </w:p>
    <w:p w14:paraId="292A7EA1" w14:textId="77777777" w:rsidR="00CA15D6" w:rsidRPr="00F735EC" w:rsidRDefault="00910ECA">
      <w:pPr>
        <w:rPr>
          <w:rFonts w:ascii="Arial" w:hAnsi="Arial" w:cs="Arial"/>
          <w:sz w:val="24"/>
          <w:szCs w:val="24"/>
          <w:lang w:val="en-GB"/>
        </w:rPr>
      </w:pPr>
      <w:r w:rsidRPr="00F735EC">
        <w:rPr>
          <w:rFonts w:ascii="Arial" w:hAnsi="Arial" w:cs="Arial"/>
          <w:sz w:val="24"/>
          <w:szCs w:val="24"/>
          <w:lang w:val="en-GB"/>
        </w:rPr>
        <w:t>The WCAG 2.2 audit identified 70 issues (51 high, 17 medium, 1 low severity). Most related to colour contrast, ARIA tags, and screen reader navigation. Fixes are being tracked internally and will be implemented as development capacity allows.</w:t>
      </w:r>
    </w:p>
    <w:p w14:paraId="5E489D42" w14:textId="77777777" w:rsidR="00CA15D6" w:rsidRPr="00BC3175" w:rsidRDefault="00910ECA">
      <w:pPr>
        <w:pStyle w:val="Heading2"/>
        <w:rPr>
          <w:rFonts w:ascii="Arial" w:hAnsi="Arial" w:cs="Arial"/>
          <w:color w:val="244061" w:themeColor="accent1" w:themeShade="80"/>
          <w:sz w:val="24"/>
          <w:szCs w:val="24"/>
          <w:lang w:val="en-GB"/>
        </w:rPr>
      </w:pPr>
      <w:r w:rsidRPr="00BC3175">
        <w:rPr>
          <w:rFonts w:ascii="Arial" w:hAnsi="Arial" w:cs="Arial"/>
          <w:color w:val="244061" w:themeColor="accent1" w:themeShade="80"/>
          <w:sz w:val="24"/>
          <w:szCs w:val="24"/>
          <w:lang w:val="en-GB"/>
        </w:rPr>
        <w:t>8. Cultural Astronomy Development</w:t>
      </w:r>
    </w:p>
    <w:p w14:paraId="22C5E4B7" w14:textId="071F2EA6" w:rsidR="00CA15D6" w:rsidRPr="00F735EC" w:rsidRDefault="00910ECA">
      <w:pPr>
        <w:rPr>
          <w:rFonts w:ascii="Arial" w:hAnsi="Arial" w:cs="Arial"/>
          <w:sz w:val="24"/>
          <w:szCs w:val="24"/>
          <w:lang w:val="en-GB"/>
        </w:rPr>
      </w:pPr>
      <w:r w:rsidRPr="00F735EC">
        <w:rPr>
          <w:rFonts w:ascii="Arial" w:hAnsi="Arial" w:cs="Arial"/>
          <w:sz w:val="24"/>
          <w:szCs w:val="24"/>
          <w:lang w:val="en-GB"/>
        </w:rPr>
        <w:t xml:space="preserve">The project catalogued topics for ongoing development, </w:t>
      </w:r>
      <w:r w:rsidR="00067740">
        <w:rPr>
          <w:rFonts w:ascii="Arial" w:hAnsi="Arial" w:cs="Arial"/>
          <w:sz w:val="24"/>
          <w:szCs w:val="24"/>
          <w:lang w:val="en-GB"/>
        </w:rPr>
        <w:t>including</w:t>
      </w:r>
      <w:r w:rsidRPr="00F735EC">
        <w:rPr>
          <w:rFonts w:ascii="Arial" w:hAnsi="Arial" w:cs="Arial"/>
          <w:sz w:val="24"/>
          <w:szCs w:val="24"/>
          <w:lang w:val="en-GB"/>
        </w:rPr>
        <w:t xml:space="preserve"> Aboriginal and Polynesian astronomy, Zulu and Xhosa sky stories, Islamic lunar calendars, Chinese and Persian observatories, and Indigenous constellations </w:t>
      </w:r>
      <w:r w:rsidR="00067740">
        <w:rPr>
          <w:rFonts w:ascii="Arial" w:hAnsi="Arial" w:cs="Arial"/>
          <w:sz w:val="24"/>
          <w:szCs w:val="24"/>
          <w:lang w:val="en-GB"/>
        </w:rPr>
        <w:t>such as</w:t>
      </w:r>
      <w:r w:rsidRPr="00F735EC">
        <w:rPr>
          <w:rFonts w:ascii="Arial" w:hAnsi="Arial" w:cs="Arial"/>
          <w:sz w:val="24"/>
          <w:szCs w:val="24"/>
          <w:lang w:val="en-GB"/>
        </w:rPr>
        <w:t xml:space="preserve"> the Emu in the Sky. Future content will include interactive activities, short-form videos, and downloadable resources.</w:t>
      </w:r>
    </w:p>
    <w:p w14:paraId="1CE3FE00" w14:textId="77777777" w:rsidR="00CA15D6" w:rsidRPr="00BC3175" w:rsidRDefault="00910ECA">
      <w:pPr>
        <w:pStyle w:val="Heading2"/>
        <w:rPr>
          <w:rFonts w:ascii="Arial" w:hAnsi="Arial" w:cs="Arial"/>
          <w:color w:val="244061" w:themeColor="accent1" w:themeShade="80"/>
          <w:sz w:val="24"/>
          <w:szCs w:val="24"/>
          <w:lang w:val="en-GB"/>
        </w:rPr>
      </w:pPr>
      <w:r w:rsidRPr="00BC3175">
        <w:rPr>
          <w:rFonts w:ascii="Arial" w:hAnsi="Arial" w:cs="Arial"/>
          <w:color w:val="244061" w:themeColor="accent1" w:themeShade="80"/>
          <w:sz w:val="24"/>
          <w:szCs w:val="24"/>
          <w:lang w:val="en-GB"/>
        </w:rPr>
        <w:t>9. Lessons Learned</w:t>
      </w:r>
    </w:p>
    <w:p w14:paraId="0FA28E17" w14:textId="77777777" w:rsidR="00BC3175" w:rsidRDefault="00910ECA" w:rsidP="00BC3175">
      <w:pPr>
        <w:pStyle w:val="ListParagraph"/>
        <w:numPr>
          <w:ilvl w:val="0"/>
          <w:numId w:val="26"/>
        </w:numPr>
        <w:rPr>
          <w:rFonts w:ascii="Arial" w:hAnsi="Arial" w:cs="Arial"/>
          <w:sz w:val="24"/>
          <w:szCs w:val="24"/>
          <w:lang w:val="en-GB"/>
        </w:rPr>
      </w:pPr>
      <w:r w:rsidRPr="00BC3175">
        <w:rPr>
          <w:rFonts w:ascii="Arial" w:hAnsi="Arial" w:cs="Arial"/>
          <w:sz w:val="24"/>
          <w:szCs w:val="24"/>
          <w:lang w:val="en-GB"/>
        </w:rPr>
        <w:t>Online participation in ALS was limited due to workloads; in-person sessions proved more effective.</w:t>
      </w:r>
    </w:p>
    <w:p w14:paraId="0779E830" w14:textId="79E091A7" w:rsidR="00BC3175" w:rsidRDefault="00910ECA" w:rsidP="00BC3175">
      <w:pPr>
        <w:pStyle w:val="ListParagraph"/>
        <w:numPr>
          <w:ilvl w:val="0"/>
          <w:numId w:val="26"/>
        </w:numPr>
        <w:rPr>
          <w:rFonts w:ascii="Arial" w:hAnsi="Arial" w:cs="Arial"/>
          <w:sz w:val="24"/>
          <w:szCs w:val="24"/>
          <w:lang w:val="en-GB"/>
        </w:rPr>
      </w:pPr>
      <w:r w:rsidRPr="00BC3175">
        <w:rPr>
          <w:rFonts w:ascii="Arial" w:hAnsi="Arial" w:cs="Arial"/>
          <w:sz w:val="24"/>
          <w:szCs w:val="24"/>
          <w:lang w:val="en-GB"/>
        </w:rPr>
        <w:t xml:space="preserve">Peer-led reflection promotes </w:t>
      </w:r>
      <w:r w:rsidR="00067740">
        <w:rPr>
          <w:rFonts w:ascii="Arial" w:hAnsi="Arial" w:cs="Arial"/>
          <w:sz w:val="24"/>
          <w:szCs w:val="24"/>
          <w:lang w:val="en-GB"/>
        </w:rPr>
        <w:t xml:space="preserve">a </w:t>
      </w:r>
      <w:r w:rsidRPr="00BC3175">
        <w:rPr>
          <w:rFonts w:ascii="Arial" w:hAnsi="Arial" w:cs="Arial"/>
          <w:sz w:val="24"/>
          <w:szCs w:val="24"/>
          <w:lang w:val="en-GB"/>
        </w:rPr>
        <w:t>deeper understanding of bias and privilege.</w:t>
      </w:r>
    </w:p>
    <w:p w14:paraId="6198EB23" w14:textId="77777777" w:rsidR="00BC3175" w:rsidRDefault="00910ECA" w:rsidP="00BC3175">
      <w:pPr>
        <w:pStyle w:val="ListParagraph"/>
        <w:numPr>
          <w:ilvl w:val="0"/>
          <w:numId w:val="26"/>
        </w:numPr>
        <w:rPr>
          <w:rFonts w:ascii="Arial" w:hAnsi="Arial" w:cs="Arial"/>
          <w:sz w:val="24"/>
          <w:szCs w:val="24"/>
          <w:lang w:val="en-GB"/>
        </w:rPr>
      </w:pPr>
      <w:r w:rsidRPr="00BC3175">
        <w:rPr>
          <w:rFonts w:ascii="Arial" w:hAnsi="Arial" w:cs="Arial"/>
          <w:sz w:val="24"/>
          <w:szCs w:val="24"/>
          <w:lang w:val="en-GB"/>
        </w:rPr>
        <w:t>Structured reflection builds confidence and authentic engagement.</w:t>
      </w:r>
    </w:p>
    <w:p w14:paraId="04F63DC0" w14:textId="77777777" w:rsidR="00BC3175" w:rsidRDefault="00910ECA" w:rsidP="00BC3175">
      <w:pPr>
        <w:pStyle w:val="ListParagraph"/>
        <w:numPr>
          <w:ilvl w:val="0"/>
          <w:numId w:val="26"/>
        </w:numPr>
        <w:rPr>
          <w:rFonts w:ascii="Arial" w:hAnsi="Arial" w:cs="Arial"/>
          <w:sz w:val="24"/>
          <w:szCs w:val="24"/>
          <w:lang w:val="en-GB"/>
        </w:rPr>
      </w:pPr>
      <w:r w:rsidRPr="00BC3175">
        <w:rPr>
          <w:rFonts w:ascii="Arial" w:hAnsi="Arial" w:cs="Arial"/>
          <w:sz w:val="24"/>
          <w:szCs w:val="24"/>
          <w:lang w:val="en-GB"/>
        </w:rPr>
        <w:t>Sustained institutional support is vital to embed inclusive practice.</w:t>
      </w:r>
    </w:p>
    <w:p w14:paraId="7193FE58" w14:textId="32ABD424" w:rsidR="00CA15D6" w:rsidRPr="00BC3175" w:rsidRDefault="00910ECA" w:rsidP="00BC3175">
      <w:pPr>
        <w:pStyle w:val="ListParagraph"/>
        <w:numPr>
          <w:ilvl w:val="0"/>
          <w:numId w:val="26"/>
        </w:numPr>
        <w:rPr>
          <w:rFonts w:ascii="Arial" w:hAnsi="Arial" w:cs="Arial"/>
          <w:sz w:val="24"/>
          <w:szCs w:val="24"/>
          <w:lang w:val="en-GB"/>
        </w:rPr>
      </w:pPr>
      <w:r w:rsidRPr="00BC3175">
        <w:rPr>
          <w:rFonts w:ascii="Arial" w:hAnsi="Arial" w:cs="Arial"/>
          <w:sz w:val="24"/>
          <w:szCs w:val="24"/>
          <w:lang w:val="en-GB"/>
        </w:rPr>
        <w:lastRenderedPageBreak/>
        <w:t>The CDPIR review demonstrated the need for ongoing language monitoring to balance readability and depth.</w:t>
      </w:r>
    </w:p>
    <w:p w14:paraId="55916696" w14:textId="77777777" w:rsidR="00CA15D6" w:rsidRPr="00BC3175" w:rsidRDefault="00910ECA">
      <w:pPr>
        <w:pStyle w:val="Heading2"/>
        <w:rPr>
          <w:rFonts w:ascii="Arial" w:hAnsi="Arial" w:cs="Arial"/>
          <w:color w:val="244061" w:themeColor="accent1" w:themeShade="80"/>
          <w:sz w:val="24"/>
          <w:szCs w:val="24"/>
          <w:lang w:val="en-GB"/>
        </w:rPr>
      </w:pPr>
      <w:r w:rsidRPr="00BC3175">
        <w:rPr>
          <w:rFonts w:ascii="Arial" w:hAnsi="Arial" w:cs="Arial"/>
          <w:color w:val="244061" w:themeColor="accent1" w:themeShade="80"/>
          <w:sz w:val="24"/>
          <w:szCs w:val="24"/>
          <w:lang w:val="en-GB"/>
        </w:rPr>
        <w:t>10. Recommendations and Next Steps</w:t>
      </w:r>
    </w:p>
    <w:p w14:paraId="1764C5FE" w14:textId="77777777" w:rsidR="00F735EC" w:rsidRPr="00BC3175" w:rsidRDefault="00F735EC" w:rsidP="00BC3175">
      <w:pPr>
        <w:pStyle w:val="Heading3"/>
        <w:rPr>
          <w:color w:val="244061" w:themeColor="accent1" w:themeShade="80"/>
        </w:rPr>
      </w:pPr>
      <w:r w:rsidRPr="00BC3175">
        <w:rPr>
          <w:rStyle w:val="Strong"/>
          <w:b/>
          <w:bCs/>
          <w:color w:val="244061" w:themeColor="accent1" w:themeShade="80"/>
        </w:rPr>
        <w:t>1. Language and Communication</w:t>
      </w:r>
    </w:p>
    <w:p w14:paraId="100C5893" w14:textId="77777777" w:rsidR="00F735EC" w:rsidRPr="00F735EC" w:rsidRDefault="00F735EC" w:rsidP="00BC3175">
      <w:pPr>
        <w:pStyle w:val="NormalWeb"/>
        <w:numPr>
          <w:ilvl w:val="0"/>
          <w:numId w:val="10"/>
        </w:numPr>
        <w:spacing w:before="0" w:beforeAutospacing="0"/>
        <w:rPr>
          <w:rFonts w:ascii="Arial" w:hAnsi="Arial" w:cs="Arial"/>
        </w:rPr>
      </w:pPr>
      <w:r w:rsidRPr="00F735EC">
        <w:rPr>
          <w:rFonts w:ascii="Arial" w:hAnsi="Arial" w:cs="Arial"/>
        </w:rPr>
        <w:t xml:space="preserve">Use </w:t>
      </w:r>
      <w:r w:rsidRPr="00F735EC">
        <w:rPr>
          <w:rStyle w:val="Strong"/>
          <w:rFonts w:ascii="Arial" w:hAnsi="Arial" w:cs="Arial"/>
        </w:rPr>
        <w:t>inclusive, person-first, and bias-free language</w:t>
      </w:r>
      <w:r w:rsidRPr="00F735EC">
        <w:rPr>
          <w:rFonts w:ascii="Arial" w:hAnsi="Arial" w:cs="Arial"/>
        </w:rPr>
        <w:t xml:space="preserve"> throughout all materials.</w:t>
      </w:r>
    </w:p>
    <w:p w14:paraId="44AEB4D4" w14:textId="77777777" w:rsidR="00F735EC" w:rsidRPr="00F735EC" w:rsidRDefault="00F735EC" w:rsidP="00F735EC">
      <w:pPr>
        <w:pStyle w:val="NormalWeb"/>
        <w:numPr>
          <w:ilvl w:val="0"/>
          <w:numId w:val="10"/>
        </w:numPr>
        <w:rPr>
          <w:rFonts w:ascii="Arial" w:hAnsi="Arial" w:cs="Arial"/>
        </w:rPr>
      </w:pPr>
      <w:r w:rsidRPr="00F735EC">
        <w:rPr>
          <w:rFonts w:ascii="Arial" w:hAnsi="Arial" w:cs="Arial"/>
        </w:rPr>
        <w:t xml:space="preserve">Apply </w:t>
      </w:r>
      <w:r w:rsidRPr="00F735EC">
        <w:rPr>
          <w:rStyle w:val="Strong"/>
          <w:rFonts w:ascii="Arial" w:hAnsi="Arial" w:cs="Arial"/>
        </w:rPr>
        <w:t>plain, accessible English</w:t>
      </w:r>
      <w:r w:rsidRPr="00F735EC">
        <w:rPr>
          <w:rFonts w:ascii="Arial" w:hAnsi="Arial" w:cs="Arial"/>
        </w:rPr>
        <w:t xml:space="preserve"> while maintaining scientific accuracy.</w:t>
      </w:r>
    </w:p>
    <w:p w14:paraId="7D5BF00B" w14:textId="2A3BAA58" w:rsidR="00F735EC" w:rsidRPr="00F735EC" w:rsidRDefault="00F735EC" w:rsidP="00F735EC">
      <w:pPr>
        <w:pStyle w:val="NormalWeb"/>
        <w:numPr>
          <w:ilvl w:val="0"/>
          <w:numId w:val="10"/>
        </w:numPr>
        <w:rPr>
          <w:rFonts w:ascii="Arial" w:hAnsi="Arial" w:cs="Arial"/>
        </w:rPr>
      </w:pPr>
      <w:r w:rsidRPr="00F735EC">
        <w:rPr>
          <w:rFonts w:ascii="Arial" w:hAnsi="Arial" w:cs="Arial"/>
        </w:rPr>
        <w:t xml:space="preserve">Regularly </w:t>
      </w:r>
      <w:r w:rsidRPr="00F735EC">
        <w:rPr>
          <w:rStyle w:val="Strong"/>
          <w:rFonts w:ascii="Arial" w:hAnsi="Arial" w:cs="Arial"/>
        </w:rPr>
        <w:t>review and update terminology</w:t>
      </w:r>
      <w:r w:rsidRPr="00F735EC">
        <w:rPr>
          <w:rFonts w:ascii="Arial" w:hAnsi="Arial" w:cs="Arial"/>
        </w:rPr>
        <w:t xml:space="preserve"> to align with current EDI best practice</w:t>
      </w:r>
      <w:r w:rsidR="00BC3175">
        <w:rPr>
          <w:rFonts w:ascii="Arial" w:hAnsi="Arial" w:cs="Arial"/>
        </w:rPr>
        <w:t>s</w:t>
      </w:r>
      <w:r w:rsidRPr="00F735EC">
        <w:rPr>
          <w:rFonts w:ascii="Arial" w:hAnsi="Arial" w:cs="Arial"/>
        </w:rPr>
        <w:t>.</w:t>
      </w:r>
    </w:p>
    <w:p w14:paraId="7A89A757" w14:textId="1AA170EF" w:rsidR="00F735EC" w:rsidRPr="00F735EC" w:rsidRDefault="00F735EC" w:rsidP="00F735EC">
      <w:pPr>
        <w:pStyle w:val="NormalWeb"/>
        <w:numPr>
          <w:ilvl w:val="0"/>
          <w:numId w:val="10"/>
        </w:numPr>
        <w:rPr>
          <w:rFonts w:ascii="Arial" w:hAnsi="Arial" w:cs="Arial"/>
        </w:rPr>
      </w:pPr>
      <w:r w:rsidRPr="00F735EC">
        <w:rPr>
          <w:rFonts w:ascii="Arial" w:hAnsi="Arial" w:cs="Arial"/>
        </w:rPr>
        <w:t xml:space="preserve">Avoid </w:t>
      </w:r>
      <w:r w:rsidRPr="00F735EC">
        <w:rPr>
          <w:rStyle w:val="Strong"/>
          <w:rFonts w:ascii="Arial" w:hAnsi="Arial" w:cs="Arial"/>
        </w:rPr>
        <w:t>deficit framing</w:t>
      </w:r>
      <w:r w:rsidRPr="00F735EC">
        <w:rPr>
          <w:rFonts w:ascii="Arial" w:hAnsi="Arial" w:cs="Arial"/>
        </w:rPr>
        <w:t>—describe individuals and communities through their strengths, not challenges.</w:t>
      </w:r>
    </w:p>
    <w:p w14:paraId="0DE59EDB" w14:textId="77777777" w:rsidR="00F735EC" w:rsidRPr="00BC3175" w:rsidRDefault="00F735EC" w:rsidP="00BC3175">
      <w:pPr>
        <w:pStyle w:val="Heading3"/>
        <w:rPr>
          <w:color w:val="244061" w:themeColor="accent1" w:themeShade="80"/>
        </w:rPr>
      </w:pPr>
      <w:r w:rsidRPr="00BC3175">
        <w:rPr>
          <w:rStyle w:val="Strong"/>
          <w:b/>
          <w:bCs/>
          <w:color w:val="244061" w:themeColor="accent1" w:themeShade="80"/>
        </w:rPr>
        <w:t>2. Imagery and Representation</w:t>
      </w:r>
    </w:p>
    <w:p w14:paraId="3D0C00C4" w14:textId="77777777" w:rsidR="00F735EC" w:rsidRPr="00F735EC" w:rsidRDefault="00F735EC" w:rsidP="00BC3175">
      <w:pPr>
        <w:pStyle w:val="NormalWeb"/>
        <w:numPr>
          <w:ilvl w:val="0"/>
          <w:numId w:val="11"/>
        </w:numPr>
        <w:spacing w:before="0" w:beforeAutospacing="0"/>
        <w:rPr>
          <w:rFonts w:ascii="Arial" w:hAnsi="Arial" w:cs="Arial"/>
        </w:rPr>
      </w:pPr>
      <w:r w:rsidRPr="00F735EC">
        <w:rPr>
          <w:rFonts w:ascii="Arial" w:hAnsi="Arial" w:cs="Arial"/>
        </w:rPr>
        <w:t xml:space="preserve">Replace or reduce stock imagery by investing in </w:t>
      </w:r>
      <w:r w:rsidRPr="00F735EC">
        <w:rPr>
          <w:rStyle w:val="Strong"/>
          <w:rFonts w:ascii="Arial" w:hAnsi="Arial" w:cs="Arial"/>
        </w:rPr>
        <w:t>bespoke, authentic photos and illustrations</w:t>
      </w:r>
      <w:r w:rsidRPr="00F735EC">
        <w:rPr>
          <w:rFonts w:ascii="Arial" w:hAnsi="Arial" w:cs="Arial"/>
        </w:rPr>
        <w:t>.</w:t>
      </w:r>
    </w:p>
    <w:p w14:paraId="10862471" w14:textId="77777777" w:rsidR="00F735EC" w:rsidRPr="00F735EC" w:rsidRDefault="00F735EC" w:rsidP="00F735EC">
      <w:pPr>
        <w:pStyle w:val="NormalWeb"/>
        <w:numPr>
          <w:ilvl w:val="0"/>
          <w:numId w:val="11"/>
        </w:numPr>
        <w:rPr>
          <w:rFonts w:ascii="Arial" w:hAnsi="Arial" w:cs="Arial"/>
        </w:rPr>
      </w:pPr>
      <w:r w:rsidRPr="00F735EC">
        <w:rPr>
          <w:rFonts w:ascii="Arial" w:hAnsi="Arial" w:cs="Arial"/>
        </w:rPr>
        <w:t xml:space="preserve">Ensure visuals show </w:t>
      </w:r>
      <w:r w:rsidRPr="00F735EC">
        <w:rPr>
          <w:rStyle w:val="Strong"/>
          <w:rFonts w:ascii="Arial" w:hAnsi="Arial" w:cs="Arial"/>
        </w:rPr>
        <w:t>diversity across ethnicity, gender, disability, and age</w:t>
      </w:r>
      <w:r w:rsidRPr="00F735EC">
        <w:rPr>
          <w:rFonts w:ascii="Arial" w:hAnsi="Arial" w:cs="Arial"/>
        </w:rPr>
        <w:t xml:space="preserve"> in all contexts, including leadership and success.</w:t>
      </w:r>
    </w:p>
    <w:p w14:paraId="37E5B594" w14:textId="485CF7DB" w:rsidR="00F735EC" w:rsidRPr="00F735EC" w:rsidRDefault="00F735EC" w:rsidP="00F735EC">
      <w:pPr>
        <w:pStyle w:val="NormalWeb"/>
        <w:numPr>
          <w:ilvl w:val="0"/>
          <w:numId w:val="11"/>
        </w:numPr>
        <w:rPr>
          <w:rFonts w:ascii="Arial" w:hAnsi="Arial" w:cs="Arial"/>
        </w:rPr>
      </w:pPr>
      <w:r w:rsidRPr="00F735EC">
        <w:rPr>
          <w:rFonts w:ascii="Arial" w:hAnsi="Arial" w:cs="Arial"/>
        </w:rPr>
        <w:t xml:space="preserve">Audit and redesign icons, animations, and videos to </w:t>
      </w:r>
      <w:r w:rsidRPr="00F735EC">
        <w:rPr>
          <w:rStyle w:val="Strong"/>
          <w:rFonts w:ascii="Arial" w:hAnsi="Arial" w:cs="Arial"/>
        </w:rPr>
        <w:t>remove stereotypical or gendered imagery</w:t>
      </w:r>
      <w:r w:rsidRPr="00F735EC">
        <w:rPr>
          <w:rFonts w:ascii="Arial" w:hAnsi="Arial" w:cs="Arial"/>
        </w:rPr>
        <w:t>.</w:t>
      </w:r>
    </w:p>
    <w:p w14:paraId="0273C90F" w14:textId="77777777" w:rsidR="00F735EC" w:rsidRPr="00BC3175" w:rsidRDefault="00F735EC" w:rsidP="00BC3175">
      <w:pPr>
        <w:pStyle w:val="Heading3"/>
        <w:rPr>
          <w:color w:val="244061" w:themeColor="accent1" w:themeShade="80"/>
        </w:rPr>
      </w:pPr>
      <w:r w:rsidRPr="00BC3175">
        <w:rPr>
          <w:rStyle w:val="Strong"/>
          <w:b/>
          <w:bCs/>
          <w:color w:val="244061" w:themeColor="accent1" w:themeShade="80"/>
        </w:rPr>
        <w:t>3. Content and Storytelling</w:t>
      </w:r>
    </w:p>
    <w:p w14:paraId="2EF4F335" w14:textId="77777777" w:rsidR="00F735EC" w:rsidRPr="00F735EC" w:rsidRDefault="00F735EC" w:rsidP="00BC3175">
      <w:pPr>
        <w:pStyle w:val="NormalWeb"/>
        <w:numPr>
          <w:ilvl w:val="0"/>
          <w:numId w:val="12"/>
        </w:numPr>
        <w:spacing w:before="0" w:beforeAutospacing="0"/>
        <w:rPr>
          <w:rFonts w:ascii="Arial" w:hAnsi="Arial" w:cs="Arial"/>
        </w:rPr>
      </w:pPr>
      <w:r w:rsidRPr="00F735EC">
        <w:rPr>
          <w:rFonts w:ascii="Arial" w:hAnsi="Arial" w:cs="Arial"/>
        </w:rPr>
        <w:t xml:space="preserve">Broaden historical and cultural coverage to </w:t>
      </w:r>
      <w:r w:rsidRPr="00F735EC">
        <w:rPr>
          <w:rStyle w:val="Strong"/>
          <w:rFonts w:ascii="Arial" w:hAnsi="Arial" w:cs="Arial"/>
        </w:rPr>
        <w:t>include non-Western and Indigenous astronomy</w:t>
      </w:r>
      <w:r w:rsidRPr="00F735EC">
        <w:rPr>
          <w:rFonts w:ascii="Arial" w:hAnsi="Arial" w:cs="Arial"/>
        </w:rPr>
        <w:t xml:space="preserve"> traditions.</w:t>
      </w:r>
    </w:p>
    <w:p w14:paraId="0622F8EC" w14:textId="77777777" w:rsidR="00F735EC" w:rsidRPr="00F735EC" w:rsidRDefault="00F735EC" w:rsidP="00F735EC">
      <w:pPr>
        <w:pStyle w:val="NormalWeb"/>
        <w:numPr>
          <w:ilvl w:val="0"/>
          <w:numId w:val="12"/>
        </w:numPr>
        <w:rPr>
          <w:rFonts w:ascii="Arial" w:hAnsi="Arial" w:cs="Arial"/>
        </w:rPr>
      </w:pPr>
      <w:r w:rsidRPr="00F735EC">
        <w:rPr>
          <w:rFonts w:ascii="Arial" w:hAnsi="Arial" w:cs="Arial"/>
        </w:rPr>
        <w:t xml:space="preserve">Add </w:t>
      </w:r>
      <w:r w:rsidRPr="00F735EC">
        <w:rPr>
          <w:rStyle w:val="Strong"/>
          <w:rFonts w:ascii="Arial" w:hAnsi="Arial" w:cs="Arial"/>
        </w:rPr>
        <w:t>interactive and global resources</w:t>
      </w:r>
      <w:r w:rsidRPr="00F735EC">
        <w:rPr>
          <w:rFonts w:ascii="Arial" w:hAnsi="Arial" w:cs="Arial"/>
        </w:rPr>
        <w:t>, such as maps, timelines, or activities connecting science and culture.</w:t>
      </w:r>
    </w:p>
    <w:p w14:paraId="06B436DA" w14:textId="77777777" w:rsidR="00F735EC" w:rsidRPr="00F735EC" w:rsidRDefault="00F735EC" w:rsidP="00F735EC">
      <w:pPr>
        <w:pStyle w:val="NormalWeb"/>
        <w:numPr>
          <w:ilvl w:val="0"/>
          <w:numId w:val="12"/>
        </w:numPr>
        <w:rPr>
          <w:rFonts w:ascii="Arial" w:hAnsi="Arial" w:cs="Arial"/>
        </w:rPr>
      </w:pPr>
      <w:r w:rsidRPr="00F735EC">
        <w:rPr>
          <w:rFonts w:ascii="Arial" w:hAnsi="Arial" w:cs="Arial"/>
        </w:rPr>
        <w:t xml:space="preserve">Develop </w:t>
      </w:r>
      <w:r w:rsidRPr="00F735EC">
        <w:rPr>
          <w:rStyle w:val="Strong"/>
          <w:rFonts w:ascii="Arial" w:hAnsi="Arial" w:cs="Arial"/>
        </w:rPr>
        <w:t>new classroom resources</w:t>
      </w:r>
      <w:r w:rsidRPr="00F735EC">
        <w:rPr>
          <w:rFonts w:ascii="Arial" w:hAnsi="Arial" w:cs="Arial"/>
        </w:rPr>
        <w:t xml:space="preserve"> and “Things To Do” activities linked to cultural astronomy.</w:t>
      </w:r>
    </w:p>
    <w:p w14:paraId="4F0F0E5F" w14:textId="5C7CB3EE" w:rsidR="00F735EC" w:rsidRPr="00F735EC" w:rsidRDefault="00F735EC" w:rsidP="00F735EC">
      <w:pPr>
        <w:pStyle w:val="NormalWeb"/>
        <w:numPr>
          <w:ilvl w:val="0"/>
          <w:numId w:val="12"/>
        </w:numPr>
        <w:rPr>
          <w:rFonts w:ascii="Arial" w:hAnsi="Arial" w:cs="Arial"/>
        </w:rPr>
      </w:pPr>
      <w:r w:rsidRPr="00F735EC">
        <w:rPr>
          <w:rFonts w:ascii="Arial" w:hAnsi="Arial" w:cs="Arial"/>
        </w:rPr>
        <w:t xml:space="preserve">Include </w:t>
      </w:r>
      <w:r w:rsidRPr="00F735EC">
        <w:rPr>
          <w:rStyle w:val="Strong"/>
          <w:rFonts w:ascii="Arial" w:hAnsi="Arial" w:cs="Arial"/>
        </w:rPr>
        <w:t>case studies, interviews, and testimonials</w:t>
      </w:r>
      <w:r w:rsidRPr="00F735EC">
        <w:rPr>
          <w:rFonts w:ascii="Arial" w:hAnsi="Arial" w:cs="Arial"/>
        </w:rPr>
        <w:t xml:space="preserve"> from</w:t>
      </w:r>
      <w:r w:rsidR="00BC3175">
        <w:rPr>
          <w:rFonts w:ascii="Arial" w:hAnsi="Arial" w:cs="Arial"/>
        </w:rPr>
        <w:t xml:space="preserve"> </w:t>
      </w:r>
      <w:r w:rsidRPr="00F735EC">
        <w:rPr>
          <w:rFonts w:ascii="Arial" w:hAnsi="Arial" w:cs="Arial"/>
        </w:rPr>
        <w:t>underrepresented scientists and educators.</w:t>
      </w:r>
    </w:p>
    <w:p w14:paraId="0FA73E90" w14:textId="77777777" w:rsidR="00F735EC" w:rsidRPr="00BC3175" w:rsidRDefault="00F735EC" w:rsidP="00BC3175">
      <w:pPr>
        <w:pStyle w:val="Heading3"/>
        <w:rPr>
          <w:color w:val="244061" w:themeColor="accent1" w:themeShade="80"/>
        </w:rPr>
      </w:pPr>
      <w:r w:rsidRPr="00BC3175">
        <w:rPr>
          <w:rStyle w:val="Strong"/>
          <w:b/>
          <w:bCs/>
          <w:color w:val="244061" w:themeColor="accent1" w:themeShade="80"/>
        </w:rPr>
        <w:t>4. Accessibility and User Experience</w:t>
      </w:r>
    </w:p>
    <w:p w14:paraId="1E17CAF2" w14:textId="77777777" w:rsidR="00F735EC" w:rsidRPr="00F735EC" w:rsidRDefault="00F735EC" w:rsidP="00BC3175">
      <w:pPr>
        <w:pStyle w:val="NormalWeb"/>
        <w:numPr>
          <w:ilvl w:val="0"/>
          <w:numId w:val="13"/>
        </w:numPr>
        <w:spacing w:before="0" w:beforeAutospacing="0"/>
        <w:rPr>
          <w:rFonts w:ascii="Arial" w:hAnsi="Arial" w:cs="Arial"/>
        </w:rPr>
      </w:pPr>
      <w:r w:rsidRPr="00F735EC">
        <w:rPr>
          <w:rFonts w:ascii="Arial" w:hAnsi="Arial" w:cs="Arial"/>
        </w:rPr>
        <w:t xml:space="preserve">Fully implement </w:t>
      </w:r>
      <w:r w:rsidRPr="00F735EC">
        <w:rPr>
          <w:rStyle w:val="Strong"/>
          <w:rFonts w:ascii="Arial" w:hAnsi="Arial" w:cs="Arial"/>
        </w:rPr>
        <w:t>WCAG 2.2 accessibility standards</w:t>
      </w:r>
      <w:r w:rsidRPr="00F735EC">
        <w:rPr>
          <w:rFonts w:ascii="Arial" w:hAnsi="Arial" w:cs="Arial"/>
        </w:rPr>
        <w:t>, addressing colour contrast, ARIA tags, and navigation.</w:t>
      </w:r>
    </w:p>
    <w:p w14:paraId="11D154F9" w14:textId="77777777" w:rsidR="00F735EC" w:rsidRPr="00F735EC" w:rsidRDefault="00F735EC" w:rsidP="00F735EC">
      <w:pPr>
        <w:pStyle w:val="NormalWeb"/>
        <w:numPr>
          <w:ilvl w:val="0"/>
          <w:numId w:val="13"/>
        </w:numPr>
        <w:rPr>
          <w:rFonts w:ascii="Arial" w:hAnsi="Arial" w:cs="Arial"/>
        </w:rPr>
      </w:pPr>
      <w:r w:rsidRPr="00F735EC">
        <w:rPr>
          <w:rFonts w:ascii="Arial" w:hAnsi="Arial" w:cs="Arial"/>
        </w:rPr>
        <w:t xml:space="preserve">Add </w:t>
      </w:r>
      <w:r w:rsidRPr="00F735EC">
        <w:rPr>
          <w:rStyle w:val="Strong"/>
          <w:rFonts w:ascii="Arial" w:hAnsi="Arial" w:cs="Arial"/>
        </w:rPr>
        <w:t>Easy Read and multilingual options</w:t>
      </w:r>
      <w:r w:rsidRPr="00F735EC">
        <w:rPr>
          <w:rFonts w:ascii="Arial" w:hAnsi="Arial" w:cs="Arial"/>
        </w:rPr>
        <w:t xml:space="preserve"> to key sections of the website.</w:t>
      </w:r>
    </w:p>
    <w:p w14:paraId="26B58AA2" w14:textId="77777777" w:rsidR="00F735EC" w:rsidRPr="00F735EC" w:rsidRDefault="00F735EC" w:rsidP="00F735EC">
      <w:pPr>
        <w:pStyle w:val="NormalWeb"/>
        <w:numPr>
          <w:ilvl w:val="0"/>
          <w:numId w:val="13"/>
        </w:numPr>
        <w:rPr>
          <w:rFonts w:ascii="Arial" w:hAnsi="Arial" w:cs="Arial"/>
        </w:rPr>
      </w:pPr>
      <w:r w:rsidRPr="00F735EC">
        <w:rPr>
          <w:rFonts w:ascii="Arial" w:hAnsi="Arial" w:cs="Arial"/>
        </w:rPr>
        <w:t xml:space="preserve">Introduce </w:t>
      </w:r>
      <w:r w:rsidRPr="00F735EC">
        <w:rPr>
          <w:rStyle w:val="Strong"/>
          <w:rFonts w:ascii="Arial" w:hAnsi="Arial" w:cs="Arial"/>
        </w:rPr>
        <w:t>alternative content formats</w:t>
      </w:r>
      <w:r w:rsidRPr="00F735EC">
        <w:rPr>
          <w:rFonts w:ascii="Arial" w:hAnsi="Arial" w:cs="Arial"/>
        </w:rPr>
        <w:t xml:space="preserve"> such as explainer videos, infographics, and audio guides.</w:t>
      </w:r>
    </w:p>
    <w:p w14:paraId="1EA3E292" w14:textId="77777777" w:rsidR="00F735EC" w:rsidRPr="00BC3175" w:rsidRDefault="00F735EC" w:rsidP="00BC3175">
      <w:pPr>
        <w:pStyle w:val="Heading3"/>
        <w:rPr>
          <w:color w:val="244061" w:themeColor="accent1" w:themeShade="80"/>
        </w:rPr>
      </w:pPr>
      <w:r w:rsidRPr="00BC3175">
        <w:rPr>
          <w:rStyle w:val="Strong"/>
          <w:b/>
          <w:bCs/>
          <w:color w:val="244061" w:themeColor="accent1" w:themeShade="80"/>
        </w:rPr>
        <w:t>5. Community and Youth Engagement</w:t>
      </w:r>
    </w:p>
    <w:p w14:paraId="1037BB1B" w14:textId="77777777" w:rsidR="00F735EC" w:rsidRPr="00F735EC" w:rsidRDefault="00F735EC" w:rsidP="00BC3175">
      <w:pPr>
        <w:pStyle w:val="NormalWeb"/>
        <w:numPr>
          <w:ilvl w:val="0"/>
          <w:numId w:val="14"/>
        </w:numPr>
        <w:spacing w:before="0" w:beforeAutospacing="0"/>
        <w:rPr>
          <w:rFonts w:ascii="Arial" w:hAnsi="Arial" w:cs="Arial"/>
        </w:rPr>
      </w:pPr>
      <w:r w:rsidRPr="00F735EC">
        <w:rPr>
          <w:rFonts w:ascii="Arial" w:hAnsi="Arial" w:cs="Arial"/>
        </w:rPr>
        <w:t xml:space="preserve">Strengthen collaboration with </w:t>
      </w:r>
      <w:r w:rsidRPr="00F735EC">
        <w:rPr>
          <w:rStyle w:val="Strong"/>
          <w:rFonts w:ascii="Arial" w:hAnsi="Arial" w:cs="Arial"/>
        </w:rPr>
        <w:t>local youth and community organisations</w:t>
      </w:r>
      <w:r w:rsidRPr="00F735EC">
        <w:rPr>
          <w:rFonts w:ascii="Arial" w:hAnsi="Arial" w:cs="Arial"/>
        </w:rPr>
        <w:t xml:space="preserve"> to co-design future content.</w:t>
      </w:r>
    </w:p>
    <w:p w14:paraId="587B663E" w14:textId="2ADACFAF" w:rsidR="00F735EC" w:rsidRPr="00F735EC" w:rsidRDefault="00F735EC" w:rsidP="00F735EC">
      <w:pPr>
        <w:pStyle w:val="NormalWeb"/>
        <w:numPr>
          <w:ilvl w:val="0"/>
          <w:numId w:val="14"/>
        </w:numPr>
        <w:rPr>
          <w:rFonts w:ascii="Arial" w:hAnsi="Arial" w:cs="Arial"/>
        </w:rPr>
      </w:pPr>
      <w:r w:rsidRPr="00F735EC">
        <w:rPr>
          <w:rFonts w:ascii="Arial" w:hAnsi="Arial" w:cs="Arial"/>
        </w:rPr>
        <w:t xml:space="preserve">Gather regular </w:t>
      </w:r>
      <w:r w:rsidRPr="00F735EC">
        <w:rPr>
          <w:rStyle w:val="Strong"/>
          <w:rFonts w:ascii="Arial" w:hAnsi="Arial" w:cs="Arial"/>
        </w:rPr>
        <w:t>user feedback and evaluation</w:t>
      </w:r>
      <w:r w:rsidRPr="00F735EC">
        <w:rPr>
          <w:rFonts w:ascii="Arial" w:hAnsi="Arial" w:cs="Arial"/>
        </w:rPr>
        <w:t xml:space="preserve"> through surveys, focus groups, and advisory panels.</w:t>
      </w:r>
    </w:p>
    <w:p w14:paraId="110E3A75" w14:textId="77777777" w:rsidR="00F735EC" w:rsidRPr="00BC3175" w:rsidRDefault="00F735EC" w:rsidP="00BC3175">
      <w:pPr>
        <w:pStyle w:val="Heading3"/>
        <w:rPr>
          <w:color w:val="244061" w:themeColor="accent1" w:themeShade="80"/>
        </w:rPr>
      </w:pPr>
      <w:r w:rsidRPr="00BC3175">
        <w:rPr>
          <w:rStyle w:val="Strong"/>
          <w:b/>
          <w:bCs/>
          <w:color w:val="244061" w:themeColor="accent1" w:themeShade="80"/>
        </w:rPr>
        <w:lastRenderedPageBreak/>
        <w:t xml:space="preserve">6. </w:t>
      </w:r>
      <w:r w:rsidRPr="00BC3175">
        <w:rPr>
          <w:rStyle w:val="Strong"/>
          <w:b/>
          <w:bCs/>
          <w:color w:val="244061" w:themeColor="accent1" w:themeShade="80"/>
          <w:lang w:val="en-GB"/>
        </w:rPr>
        <w:t>Organisational</w:t>
      </w:r>
      <w:r w:rsidRPr="00BC3175">
        <w:rPr>
          <w:rStyle w:val="Strong"/>
          <w:b/>
          <w:bCs/>
          <w:color w:val="244061" w:themeColor="accent1" w:themeShade="80"/>
        </w:rPr>
        <w:t xml:space="preserve"> Practice and Policy</w:t>
      </w:r>
    </w:p>
    <w:p w14:paraId="69E55D7D" w14:textId="77777777" w:rsidR="00F735EC" w:rsidRPr="00F735EC" w:rsidRDefault="00F735EC" w:rsidP="00BC3175">
      <w:pPr>
        <w:pStyle w:val="NormalWeb"/>
        <w:numPr>
          <w:ilvl w:val="0"/>
          <w:numId w:val="15"/>
        </w:numPr>
        <w:spacing w:before="0" w:beforeAutospacing="0"/>
        <w:rPr>
          <w:rFonts w:ascii="Arial" w:hAnsi="Arial" w:cs="Arial"/>
        </w:rPr>
      </w:pPr>
      <w:r w:rsidRPr="00F735EC">
        <w:rPr>
          <w:rFonts w:ascii="Arial" w:hAnsi="Arial" w:cs="Arial"/>
        </w:rPr>
        <w:t xml:space="preserve">Maintain </w:t>
      </w:r>
      <w:r w:rsidRPr="00F735EC">
        <w:rPr>
          <w:rStyle w:val="Strong"/>
          <w:rFonts w:ascii="Arial" w:hAnsi="Arial" w:cs="Arial"/>
        </w:rPr>
        <w:t>Action Learning Sets or reflective EDI spaces</w:t>
      </w:r>
      <w:r w:rsidRPr="00F735EC">
        <w:rPr>
          <w:rFonts w:ascii="Arial" w:hAnsi="Arial" w:cs="Arial"/>
        </w:rPr>
        <w:t xml:space="preserve"> across departments to embed inclusive practice.</w:t>
      </w:r>
    </w:p>
    <w:p w14:paraId="1F406D16" w14:textId="5030C219" w:rsidR="00F735EC" w:rsidRPr="00F735EC" w:rsidRDefault="00F735EC" w:rsidP="00F735EC">
      <w:pPr>
        <w:pStyle w:val="NormalWeb"/>
        <w:numPr>
          <w:ilvl w:val="0"/>
          <w:numId w:val="15"/>
        </w:numPr>
        <w:rPr>
          <w:rFonts w:ascii="Arial" w:hAnsi="Arial" w:cs="Arial"/>
        </w:rPr>
      </w:pPr>
      <w:r w:rsidRPr="00F735EC">
        <w:rPr>
          <w:rFonts w:ascii="Arial" w:hAnsi="Arial" w:cs="Arial"/>
        </w:rPr>
        <w:t xml:space="preserve">Publish and prominently display </w:t>
      </w:r>
      <w:r w:rsidRPr="00F735EC">
        <w:rPr>
          <w:rStyle w:val="Strong"/>
          <w:rFonts w:ascii="Arial" w:hAnsi="Arial" w:cs="Arial"/>
        </w:rPr>
        <w:t xml:space="preserve">EDI and accessibility policy </w:t>
      </w:r>
      <w:r w:rsidR="00BC3175" w:rsidRPr="00F735EC">
        <w:rPr>
          <w:rStyle w:val="Strong"/>
          <w:rFonts w:ascii="Arial" w:hAnsi="Arial" w:cs="Arial"/>
        </w:rPr>
        <w:t>statements</w:t>
      </w:r>
      <w:r w:rsidR="00BC3175" w:rsidRPr="00F735EC">
        <w:rPr>
          <w:rFonts w:ascii="Arial" w:hAnsi="Arial" w:cs="Arial"/>
        </w:rPr>
        <w:t xml:space="preserve"> and</w:t>
      </w:r>
      <w:r w:rsidRPr="00F735EC">
        <w:rPr>
          <w:rFonts w:ascii="Arial" w:hAnsi="Arial" w:cs="Arial"/>
        </w:rPr>
        <w:t xml:space="preserve"> continue to track progress through a </w:t>
      </w:r>
      <w:r w:rsidRPr="00F735EC">
        <w:rPr>
          <w:rStyle w:val="Strong"/>
          <w:rFonts w:ascii="Arial" w:hAnsi="Arial" w:cs="Arial"/>
        </w:rPr>
        <w:t>central action register</w:t>
      </w:r>
      <w:r w:rsidRPr="00F735EC">
        <w:rPr>
          <w:rFonts w:ascii="Arial" w:hAnsi="Arial" w:cs="Arial"/>
        </w:rPr>
        <w:t>.</w:t>
      </w:r>
    </w:p>
    <w:p w14:paraId="56E9A808" w14:textId="77777777" w:rsidR="00CA15D6" w:rsidRPr="00BC3175" w:rsidRDefault="00910ECA">
      <w:pPr>
        <w:pStyle w:val="Heading2"/>
        <w:rPr>
          <w:rFonts w:ascii="Arial" w:hAnsi="Arial" w:cs="Arial"/>
          <w:color w:val="244061" w:themeColor="accent1" w:themeShade="80"/>
          <w:sz w:val="24"/>
          <w:szCs w:val="24"/>
          <w:lang w:val="en-GB"/>
        </w:rPr>
      </w:pPr>
      <w:r w:rsidRPr="00BC3175">
        <w:rPr>
          <w:rFonts w:ascii="Arial" w:hAnsi="Arial" w:cs="Arial"/>
          <w:color w:val="244061" w:themeColor="accent1" w:themeShade="80"/>
          <w:sz w:val="24"/>
          <w:szCs w:val="24"/>
          <w:lang w:val="en-GB"/>
        </w:rPr>
        <w:t>11. Conclusion</w:t>
      </w:r>
    </w:p>
    <w:p w14:paraId="5CE02A2C" w14:textId="77777777" w:rsidR="00CA15D6" w:rsidRPr="00F735EC" w:rsidRDefault="00910ECA">
      <w:pPr>
        <w:rPr>
          <w:rFonts w:ascii="Arial" w:hAnsi="Arial" w:cs="Arial"/>
          <w:sz w:val="24"/>
          <w:szCs w:val="24"/>
          <w:lang w:val="en-GB"/>
        </w:rPr>
      </w:pPr>
      <w:r w:rsidRPr="00F735EC">
        <w:rPr>
          <w:rFonts w:ascii="Arial" w:hAnsi="Arial" w:cs="Arial"/>
          <w:sz w:val="24"/>
          <w:szCs w:val="24"/>
          <w:lang w:val="en-GB"/>
        </w:rPr>
        <w:t>The Empowering Diversity project delivered significant systemic and content-based change, strengthening The Schools’ Observatory’s commitment to equity, diversity, and inclusion. Future work will focus on embedding these principles sustainably, ensuring the platform continues to reflect and inspire the full diversity of those engaging with space science.</w:t>
      </w:r>
    </w:p>
    <w:p w14:paraId="1EBED013" w14:textId="77777777" w:rsidR="00CA15D6" w:rsidRPr="00F735EC" w:rsidRDefault="00910ECA">
      <w:pPr>
        <w:rPr>
          <w:rFonts w:ascii="Arial" w:hAnsi="Arial" w:cs="Arial"/>
          <w:sz w:val="24"/>
          <w:szCs w:val="24"/>
          <w:lang w:val="en-GB"/>
        </w:rPr>
      </w:pPr>
      <w:r w:rsidRPr="00F735EC">
        <w:rPr>
          <w:rFonts w:ascii="Arial" w:hAnsi="Arial" w:cs="Arial"/>
          <w:sz w:val="24"/>
          <w:szCs w:val="24"/>
          <w:lang w:val="en-GB"/>
        </w:rPr>
        <w:br/>
        <w:t>Prepared by: Dr Stacey Habergham-Mawson</w:t>
      </w:r>
      <w:r w:rsidRPr="00F735EC">
        <w:rPr>
          <w:rFonts w:ascii="Arial" w:hAnsi="Arial" w:cs="Arial"/>
          <w:sz w:val="24"/>
          <w:szCs w:val="24"/>
          <w:lang w:val="en-GB"/>
        </w:rPr>
        <w:br/>
        <w:t>Project Lead, The Schools’ Observatory</w:t>
      </w:r>
      <w:r w:rsidRPr="00F735EC">
        <w:rPr>
          <w:rFonts w:ascii="Arial" w:hAnsi="Arial" w:cs="Arial"/>
          <w:sz w:val="24"/>
          <w:szCs w:val="24"/>
          <w:lang w:val="en-GB"/>
        </w:rPr>
        <w:br/>
        <w:t>Liverpool John Moores University</w:t>
      </w:r>
    </w:p>
    <w:sectPr w:rsidR="00CA15D6" w:rsidRPr="00F735EC" w:rsidSect="00BC317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C0CFB" w14:textId="77777777" w:rsidR="00BC3175" w:rsidRDefault="00BC3175" w:rsidP="00BC3175">
      <w:pPr>
        <w:spacing w:after="0" w:line="240" w:lineRule="auto"/>
      </w:pPr>
      <w:r>
        <w:separator/>
      </w:r>
    </w:p>
  </w:endnote>
  <w:endnote w:type="continuationSeparator" w:id="0">
    <w:p w14:paraId="02F9F8C4" w14:textId="77777777" w:rsidR="00BC3175" w:rsidRDefault="00BC3175" w:rsidP="00BC3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5198C" w14:textId="77777777" w:rsidR="00BC3175" w:rsidRDefault="00BC31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5ED66" w14:textId="77777777" w:rsidR="00BC3175" w:rsidRDefault="00BC31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AA19E" w14:textId="77777777" w:rsidR="00BC3175" w:rsidRDefault="00BC31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D98B2" w14:textId="77777777" w:rsidR="00BC3175" w:rsidRDefault="00BC3175" w:rsidP="00BC3175">
      <w:pPr>
        <w:spacing w:after="0" w:line="240" w:lineRule="auto"/>
      </w:pPr>
      <w:r>
        <w:separator/>
      </w:r>
    </w:p>
  </w:footnote>
  <w:footnote w:type="continuationSeparator" w:id="0">
    <w:p w14:paraId="67B9427F" w14:textId="77777777" w:rsidR="00BC3175" w:rsidRDefault="00BC3175" w:rsidP="00BC31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ED825" w14:textId="77777777" w:rsidR="00BC3175" w:rsidRDefault="00BC31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B3069" w14:textId="77777777" w:rsidR="00BC3175" w:rsidRDefault="00BC31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D2C21" w14:textId="77777777" w:rsidR="00BC3175" w:rsidRDefault="00BC3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9397D65"/>
    <w:multiLevelType w:val="multilevel"/>
    <w:tmpl w:val="B86CA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BDB0AF3"/>
    <w:multiLevelType w:val="multilevel"/>
    <w:tmpl w:val="7974D92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7601B7"/>
    <w:multiLevelType w:val="hybridMultilevel"/>
    <w:tmpl w:val="9A4A84BE"/>
    <w:lvl w:ilvl="0" w:tplc="3D903138">
      <w:numFmt w:val="bullet"/>
      <w:lvlText w:val="•"/>
      <w:lvlJc w:val="left"/>
      <w:pPr>
        <w:ind w:left="720" w:hanging="360"/>
      </w:pPr>
      <w:rPr>
        <w:rFonts w:ascii="Arial" w:eastAsiaTheme="minorEastAsia"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92271AD"/>
    <w:multiLevelType w:val="multilevel"/>
    <w:tmpl w:val="9A040C1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CC53FE"/>
    <w:multiLevelType w:val="hybridMultilevel"/>
    <w:tmpl w:val="1936A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A72859"/>
    <w:multiLevelType w:val="hybridMultilevel"/>
    <w:tmpl w:val="51FA391A"/>
    <w:lvl w:ilvl="0" w:tplc="3D903138">
      <w:numFmt w:val="bullet"/>
      <w:lvlText w:val="•"/>
      <w:lvlJc w:val="left"/>
      <w:pPr>
        <w:ind w:left="720" w:hanging="360"/>
      </w:pPr>
      <w:rPr>
        <w:rFonts w:ascii="Arial" w:eastAsiaTheme="minorEastAsia"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3A7743C"/>
    <w:multiLevelType w:val="multilevel"/>
    <w:tmpl w:val="CEC021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A02039"/>
    <w:multiLevelType w:val="hybridMultilevel"/>
    <w:tmpl w:val="D74E5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940E6D"/>
    <w:multiLevelType w:val="hybridMultilevel"/>
    <w:tmpl w:val="35AE9FBA"/>
    <w:lvl w:ilvl="0" w:tplc="3D90313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54706E"/>
    <w:multiLevelType w:val="hybridMultilevel"/>
    <w:tmpl w:val="E410C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F45845"/>
    <w:multiLevelType w:val="hybridMultilevel"/>
    <w:tmpl w:val="245EA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667918"/>
    <w:multiLevelType w:val="hybridMultilevel"/>
    <w:tmpl w:val="D8804968"/>
    <w:lvl w:ilvl="0" w:tplc="3D903138">
      <w:numFmt w:val="bullet"/>
      <w:lvlText w:val="•"/>
      <w:lvlJc w:val="left"/>
      <w:pPr>
        <w:ind w:left="720" w:hanging="360"/>
      </w:pPr>
      <w:rPr>
        <w:rFonts w:ascii="Arial" w:eastAsiaTheme="minorEastAsia"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6F31625"/>
    <w:multiLevelType w:val="hybridMultilevel"/>
    <w:tmpl w:val="7E82CCAC"/>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2" w15:restartNumberingAfterBreak="0">
    <w:nsid w:val="489E2ACD"/>
    <w:multiLevelType w:val="hybridMultilevel"/>
    <w:tmpl w:val="B936C9A4"/>
    <w:lvl w:ilvl="0" w:tplc="3D90313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A61E86"/>
    <w:multiLevelType w:val="hybridMultilevel"/>
    <w:tmpl w:val="76669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2E57CD"/>
    <w:multiLevelType w:val="multilevel"/>
    <w:tmpl w:val="5652EF2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64F1EBF"/>
    <w:multiLevelType w:val="hybridMultilevel"/>
    <w:tmpl w:val="77B4C8F8"/>
    <w:lvl w:ilvl="0" w:tplc="3D903138">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8BE0956"/>
    <w:multiLevelType w:val="multilevel"/>
    <w:tmpl w:val="D786AD7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233F65"/>
    <w:multiLevelType w:val="hybridMultilevel"/>
    <w:tmpl w:val="8CE25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89047C"/>
    <w:multiLevelType w:val="hybridMultilevel"/>
    <w:tmpl w:val="819A6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5673940">
    <w:abstractNumId w:val="8"/>
  </w:num>
  <w:num w:numId="2" w16cid:durableId="299269734">
    <w:abstractNumId w:val="6"/>
  </w:num>
  <w:num w:numId="3" w16cid:durableId="413818667">
    <w:abstractNumId w:val="5"/>
  </w:num>
  <w:num w:numId="4" w16cid:durableId="1855655931">
    <w:abstractNumId w:val="4"/>
  </w:num>
  <w:num w:numId="5" w16cid:durableId="1916209240">
    <w:abstractNumId w:val="7"/>
  </w:num>
  <w:num w:numId="6" w16cid:durableId="800342071">
    <w:abstractNumId w:val="3"/>
  </w:num>
  <w:num w:numId="7" w16cid:durableId="1102267603">
    <w:abstractNumId w:val="2"/>
  </w:num>
  <w:num w:numId="8" w16cid:durableId="1100444233">
    <w:abstractNumId w:val="1"/>
  </w:num>
  <w:num w:numId="9" w16cid:durableId="1107238356">
    <w:abstractNumId w:val="0"/>
  </w:num>
  <w:num w:numId="10" w16cid:durableId="1194264860">
    <w:abstractNumId w:val="9"/>
  </w:num>
  <w:num w:numId="11" w16cid:durableId="463541618">
    <w:abstractNumId w:val="15"/>
  </w:num>
  <w:num w:numId="12" w16cid:durableId="1353802331">
    <w:abstractNumId w:val="24"/>
  </w:num>
  <w:num w:numId="13" w16cid:durableId="215825498">
    <w:abstractNumId w:val="12"/>
  </w:num>
  <w:num w:numId="14" w16cid:durableId="1063915453">
    <w:abstractNumId w:val="10"/>
  </w:num>
  <w:num w:numId="15" w16cid:durableId="1956404829">
    <w:abstractNumId w:val="26"/>
  </w:num>
  <w:num w:numId="16" w16cid:durableId="1793131445">
    <w:abstractNumId w:val="23"/>
  </w:num>
  <w:num w:numId="17" w16cid:durableId="1022244708">
    <w:abstractNumId w:val="19"/>
  </w:num>
  <w:num w:numId="18" w16cid:durableId="1312518976">
    <w:abstractNumId w:val="16"/>
  </w:num>
  <w:num w:numId="19" w16cid:durableId="2130395089">
    <w:abstractNumId w:val="28"/>
  </w:num>
  <w:num w:numId="20" w16cid:durableId="1292402317">
    <w:abstractNumId w:val="21"/>
  </w:num>
  <w:num w:numId="21" w16cid:durableId="513032951">
    <w:abstractNumId w:val="18"/>
  </w:num>
  <w:num w:numId="22" w16cid:durableId="1872258672">
    <w:abstractNumId w:val="13"/>
  </w:num>
  <w:num w:numId="23" w16cid:durableId="400060963">
    <w:abstractNumId w:val="27"/>
  </w:num>
  <w:num w:numId="24" w16cid:durableId="909194854">
    <w:abstractNumId w:val="22"/>
  </w:num>
  <w:num w:numId="25" w16cid:durableId="501622812">
    <w:abstractNumId w:val="25"/>
  </w:num>
  <w:num w:numId="26" w16cid:durableId="261425149">
    <w:abstractNumId w:val="17"/>
  </w:num>
  <w:num w:numId="27" w16cid:durableId="1847599274">
    <w:abstractNumId w:val="11"/>
  </w:num>
  <w:num w:numId="28" w16cid:durableId="298656527">
    <w:abstractNumId w:val="14"/>
  </w:num>
  <w:num w:numId="29" w16cid:durableId="15939334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displayBackgroundShap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7740"/>
    <w:rsid w:val="0015074B"/>
    <w:rsid w:val="0029639D"/>
    <w:rsid w:val="00326F90"/>
    <w:rsid w:val="00910ECA"/>
    <w:rsid w:val="00AA1D8D"/>
    <w:rsid w:val="00B35510"/>
    <w:rsid w:val="00B47730"/>
    <w:rsid w:val="00BC3175"/>
    <w:rsid w:val="00CA15D6"/>
    <w:rsid w:val="00CB0664"/>
    <w:rsid w:val="00F735E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1C2D25"/>
  <w14:defaultImageDpi w14:val="300"/>
  <w15:docId w15:val="{D612C3C3-3DAA-1941-A5F4-7B6D44AAF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F735EC"/>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7B3BEB9A10D8E459BD47AF5D8FA3DB7" ma:contentTypeVersion="19" ma:contentTypeDescription="Create a new document." ma:contentTypeScope="" ma:versionID="44e4edefb22c3a7f2e6408d9f8ddbb6a">
  <xsd:schema xmlns:xsd="http://www.w3.org/2001/XMLSchema" xmlns:xs="http://www.w3.org/2001/XMLSchema" xmlns:p="http://schemas.microsoft.com/office/2006/metadata/properties" xmlns:ns2="feffa93e-cba6-43bb-8a73-15ac29ca5438" xmlns:ns3="bc488e00-68d8-4541-a084-0abf67b939b2" targetNamespace="http://schemas.microsoft.com/office/2006/metadata/properties" ma:root="true" ma:fieldsID="d8d541220aeb20071d3ca08efb4bf63f" ns2:_="" ns3:_="">
    <xsd:import namespace="feffa93e-cba6-43bb-8a73-15ac29ca5438"/>
    <xsd:import namespace="bc488e00-68d8-4541-a084-0abf67b939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ffa93e-cba6-43bb-8a73-15ac29ca54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3fea976-0fb7-4036-bc8a-08177e9f58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488e00-68d8-4541-a084-0abf67b939b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84d4fb-5e41-4287-a99d-6d48a46c404c}" ma:internalName="TaxCatchAll" ma:showField="CatchAllData" ma:web="bc488e00-68d8-4541-a084-0abf67b939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effa93e-cba6-43bb-8a73-15ac29ca5438">
      <Terms xmlns="http://schemas.microsoft.com/office/infopath/2007/PartnerControls"/>
    </lcf76f155ced4ddcb4097134ff3c332f>
    <TaxCatchAll xmlns="bc488e00-68d8-4541-a084-0abf67b939b2"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11B5B1A8-7ABE-4BF4-B790-975746E60905}"/>
</file>

<file path=customXml/itemProps3.xml><?xml version="1.0" encoding="utf-8"?>
<ds:datastoreItem xmlns:ds="http://schemas.openxmlformats.org/officeDocument/2006/customXml" ds:itemID="{14690CA1-E9ED-4E6A-AE79-709D13427024}"/>
</file>

<file path=customXml/itemProps4.xml><?xml version="1.0" encoding="utf-8"?>
<ds:datastoreItem xmlns:ds="http://schemas.openxmlformats.org/officeDocument/2006/customXml" ds:itemID="{1B4A9DC3-824F-483B-BC4C-ED28EFC6C664}"/>
</file>

<file path=docProps/app.xml><?xml version="1.0" encoding="utf-8"?>
<Properties xmlns="http://schemas.openxmlformats.org/officeDocument/2006/extended-properties" xmlns:vt="http://schemas.openxmlformats.org/officeDocument/2006/docPropsVTypes">
  <Template>Normal.dotm</Template>
  <TotalTime>0</TotalTime>
  <Pages>4</Pages>
  <Words>1000</Words>
  <Characters>5704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Habergham-Mawson, Stacey</cp:lastModifiedBy>
  <cp:revision>2</cp:revision>
  <dcterms:created xsi:type="dcterms:W3CDTF">2025-10-24T09:07:00Z</dcterms:created>
  <dcterms:modified xsi:type="dcterms:W3CDTF">2025-10-24T09:07:00Z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0x01010097B3BEB9A10D8E459BD47AF5D8FA3DB7</vt:lpwstr>
  </property>
</Properties>
</file>